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仿宋_GBK" w:hAnsi="方正仿宋_GBK" w:eastAsia="方正仿宋_GBK" w:cs="方正仿宋_GBK"/>
          <w:spacing w:val="-10"/>
          <w:szCs w:val="32"/>
        </w:rPr>
      </w:pPr>
      <w:r>
        <w:rPr>
          <w:rFonts w:hint="eastAsia" w:ascii="方正小标宋_GBK" w:hAnsi="方正小标宋_GBK" w:eastAsia="方正小标宋_GBK" w:cs="方正小标宋_GBK"/>
          <w:spacing w:val="-10"/>
          <w:sz w:val="44"/>
          <w:szCs w:val="44"/>
        </w:rPr>
        <w:t>建立国家医保谈判药品门诊用药保障机制的通知</w:t>
      </w: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54</w:t>
      </w:r>
      <w:r>
        <w:rPr>
          <w:rFonts w:hint="eastAsia" w:eastAsia="方正仿宋_GBK" w:cs="方正仿宋_GBK"/>
          <w:sz w:val="32"/>
          <w:szCs w:val="32"/>
        </w:rPr>
        <w:t>号</w:t>
      </w:r>
    </w:p>
    <w:p>
      <w:pPr>
        <w:rPr>
          <w:rFonts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ascii="Times New Roman" w:hAnsi="Times New Roman" w:eastAsia="微软雅黑"/>
          <w:color w:val="000080"/>
        </w:rPr>
      </w:pPr>
      <w:r>
        <w:rPr>
          <w:rFonts w:hint="eastAsia" w:ascii="Times New Roman" w:hAnsi="Times New Roman" w:eastAsia="方正仿宋_GBK"/>
          <w:sz w:val="32"/>
          <w:szCs w:val="32"/>
        </w:rPr>
        <w:t>为落实党中央、国务院决策部署，提高参保人员用药保障水平，做好谈判药品落地工作，确保广大参保患者切实受益，我们依据国家医保局、人力资源社会保障部印发的《关于将2019年谈判药品纳入&lt;国家基本医疗保险、工伤保险和生育保险药品目录&gt;乙类范围的通知》（医保发〔2019〕65号），国家医保局、国家卫生健康委印发的《关于做好2019年国家医保谈判药品落地工作的通知》（医保发〔2019〕73号）精神，现就建立医保谈判药品门诊用药保障机制相关事宜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以习近平新时代中国特色社会主义思想为指导，全面贯彻落</w:t>
      </w:r>
      <w:bookmarkStart w:id="0" w:name="_GoBack"/>
      <w:bookmarkEnd w:id="0"/>
      <w:r>
        <w:rPr>
          <w:rFonts w:hint="eastAsia" w:ascii="Times New Roman" w:hAnsi="Times New Roman" w:eastAsia="方正仿宋_GBK"/>
          <w:sz w:val="32"/>
          <w:szCs w:val="32"/>
        </w:rPr>
        <w:t>实党的十九大和十九届二中、三中、四中全会精神，按照“保基本、可持续、惠民生、推改革”的总体要求，坚持“既尽力而为、又量力而行”原则，充分发挥国家谈判药品的市场价格优势、临床治疗优势，探索完善门诊慢性病用药保障机制，增强基本医保门诊保障能力，减轻患者门诊用药费用负担，不断提升人民群众获得感、幸福感、安全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二、保障內容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（一）保障对象</w:t>
      </w:r>
      <w:r>
        <w:rPr>
          <w:rFonts w:hint="eastAsia" w:ascii="方正楷体_GBK" w:eastAsia="方正楷体_GBK"/>
          <w:sz w:val="32"/>
          <w:szCs w:val="32"/>
        </w:rPr>
        <w:t>。</w:t>
      </w:r>
      <w:r>
        <w:rPr>
          <w:rFonts w:hint="eastAsia" w:ascii="Times New Roman" w:hAnsi="Times New Roman" w:eastAsia="方正仿宋_GBK"/>
          <w:sz w:val="32"/>
          <w:szCs w:val="32"/>
        </w:rPr>
        <w:t>凡参加我市城镇职工基本医疗保险、城乡居民合作医疗保险（以下简称“职工医保、居民医保”）并正常享受待遇、经诊断需要使用国家谈判药品且符合药品限定疾病范围的患者。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（二）药品范围。</w:t>
      </w:r>
      <w:r>
        <w:rPr>
          <w:rFonts w:hint="eastAsia" w:ascii="Times New Roman" w:hAnsi="Times New Roman" w:eastAsia="方正仿宋_GBK"/>
          <w:sz w:val="32"/>
          <w:szCs w:val="32"/>
        </w:rPr>
        <w:t>1．国家谈判药品中符合我市门诊特殊疾病保障范围的药品（以下简称“国谈门诊特病用药”）；2．国家谈判药品中非我市门诊特殊疾病保障范围但适于门诊治疗、使用周期较长、疗程费用较高的药品以及临床路径清晰、适用病种明确的药品（详见附件1，以下简称“国谈门诊保障用药”）；3．药品范围根据国家药品谈判情况动态更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（三）保障方式。</w:t>
      </w:r>
      <w:r>
        <w:rPr>
          <w:rFonts w:hint="eastAsia" w:ascii="Times New Roman" w:hAnsi="Times New Roman" w:eastAsia="方正仿宋_GBK"/>
          <w:sz w:val="32"/>
          <w:szCs w:val="32"/>
        </w:rPr>
        <w:t>1．国谈门诊特病用药按我市特病报销政策执行；2．门诊使用国谈门诊保障用药参照我市门诊特病报销政策执行；3．国家谈判药品定点医院的住院患者在特殊情况下需要外购国谈门诊保障用药时，依据该定点医院责任医师开具的药品处方，可在国谈门诊保障用药定点药店（具体条件和名单另行公布）购买国家谈判药品并按本次住院报销政策结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（四）起付标准。</w:t>
      </w:r>
      <w:r>
        <w:rPr>
          <w:rFonts w:hint="eastAsia" w:ascii="Times New Roman" w:hAnsi="Times New Roman" w:eastAsia="方正仿宋_GBK"/>
          <w:sz w:val="32"/>
          <w:szCs w:val="32"/>
        </w:rPr>
        <w:t>1．非特病的患者门诊使用国谈门诊保障用药参照其定点医院门诊特病起付标准收取，患者在门诊发生的国谈门诊保障用药医保费用超过定点医院起付标准后由医保基金和患者按比例支付；2．特病患者门诊使用国谈门诊保障用药时，特病门诊和国谈门诊保障用药定点医院的起付标准合并计算，一年按最高定点医院等级（选定单病种结算的医疗机构等级不作为其门诊特殊疾病起付线医疗机构等级）收取一次；3．今后我市门诊特病有关起付标准政策调整后，从其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（五）报销比例。</w:t>
      </w:r>
      <w:r>
        <w:rPr>
          <w:rFonts w:hint="eastAsia" w:ascii="Times New Roman" w:hAnsi="Times New Roman" w:eastAsia="方正仿宋_GBK"/>
          <w:sz w:val="32"/>
          <w:szCs w:val="32"/>
        </w:rPr>
        <w:t>1．职工医保门诊使用国谈门诊保障用药时统筹基金报销比例为80%；年度累计报销费用超过统筹基金报销限额后，按现行大额医保政策报销；2．居民医保门诊使用国谈门诊保障用药报销参照门诊特殊疾病中重大疾病的报销比例执行；年度累计自付费用超过大病保险起付标准后，按现行大病保险政策报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（六）保障期限。</w:t>
      </w:r>
      <w:r>
        <w:rPr>
          <w:rFonts w:hint="eastAsia" w:ascii="Times New Roman" w:hAnsi="Times New Roman" w:eastAsia="方正仿宋_GBK"/>
          <w:sz w:val="32"/>
          <w:szCs w:val="32"/>
        </w:rPr>
        <w:t>国家谈判药品用药保障期限为该谈判药品的谈判协议期；协议期满后相关药品续约成功或纳入《国家基本医疗保险、工伤保险和生育保险药品目录》的，继续按本办法执行；未成功续约或未纳入《国家基本医疗保险、工伤保险和生育保险药品目录》的，则停止其国谈门诊保障用药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三、药品供应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建立国家谈判药品门诊保障用药双通道机制，即对于国家谈判药品中符合我市国谈门诊特病用药和国谈门诊保障用药可由以下机构供药。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（一）国家谈判药品定点医院根据自身开展的业务范围情况，应配备相关药品，尽可能满足患者的临床用药需求。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（二）符合条件的医保定点药店可为符合条件的国谈门诊特病用药和国谈门诊保障用药患者提供药品服务。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（三）“互联网+”医保定点医院按照我市“互联网+”有关医保政策为符合条件的国谈门诊特病用药和国谈门诊保障用药患者提供药品服务。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四、服务管理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国谈门诊保障用药实行定用药资质、定医院、定责任医师的“三定”管理。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（一）用药资质。</w:t>
      </w:r>
      <w:r>
        <w:rPr>
          <w:rFonts w:hint="eastAsia" w:ascii="Times New Roman" w:hAnsi="Times New Roman" w:eastAsia="方正仿宋_GBK"/>
          <w:sz w:val="32"/>
          <w:szCs w:val="32"/>
        </w:rPr>
        <w:t>患者因病情需要使用国家谈判药品时，由国家谈判药品定点医院相关专业科室提出建议，提供临床诊断依据，提出治疗用药方案，交本医院医保办复核，医保办复核后将结果告知参保患者并反馈给科室责任医师，同时将符合条件的人员名单登记在册，并通过医保信息系统对患者的定点医院、责任医师和用药方案进行备注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（二）定点医院。</w:t>
      </w:r>
      <w:r>
        <w:rPr>
          <w:rFonts w:hint="eastAsia" w:ascii="Times New Roman" w:hAnsi="Times New Roman" w:eastAsia="方正仿宋_GBK"/>
          <w:sz w:val="32"/>
          <w:szCs w:val="32"/>
        </w:rPr>
        <w:t>患者取得用药资质后，应在国家谈判药品定点医院中选择1所医院作为本人国谈门诊保障用药定点医院，定点医院应为重庆市医疗保险定点医疗机构，卫生行政主管部门认定的二级及以上综合性医院或三级专科医疗机构，具备国家谈判药品治疗相应疾病的诊疗服务执业许可及诊断检测能力；因定点医院缺药、参保人员住址变化等情况，参保人员可变更选定的定点医院，并到其拟选定的定点医院办理相关手续。同一种国谈门诊保障用药只能选定一家定点医院，患者因不同疾病需要使用其他国谈门诊保障用药时，可选择其他医院作为国谈门诊保障用药定点医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（三）责任医师。</w:t>
      </w:r>
      <w:r>
        <w:rPr>
          <w:rFonts w:hint="eastAsia" w:ascii="Times New Roman" w:hAnsi="Times New Roman" w:eastAsia="方正仿宋_GBK"/>
          <w:sz w:val="32"/>
          <w:szCs w:val="32"/>
        </w:rPr>
        <w:t>患者确定定点医院时，需选择相关专业1—2名中级职称（含）以上医师作为其该药品责任医师，负责其国谈门诊保障用药治疗方案的实施，其余医师开具的相关药品处方不予报销。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eastAsia="方正楷体_GBK"/>
          <w:sz w:val="32"/>
          <w:szCs w:val="32"/>
        </w:rPr>
        <w:t>（四）定点药店。</w:t>
      </w:r>
      <w:r>
        <w:rPr>
          <w:rFonts w:hint="eastAsia" w:ascii="Times New Roman" w:hAnsi="Times New Roman" w:eastAsia="方正仿宋_GBK"/>
          <w:sz w:val="32"/>
          <w:szCs w:val="32"/>
        </w:rPr>
        <w:t>患者在定点药店购药时，需提供其责任医师开具的处方，定点药店通过医保信息系统核实其国家谈判药品用药资质备案信息无误后，按上述政策结算并配送相关药品。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eastAsia="方正楷体_GBK"/>
          <w:sz w:val="32"/>
          <w:szCs w:val="32"/>
        </w:rPr>
        <w:t>（五）费用结算。</w:t>
      </w:r>
      <w:r>
        <w:rPr>
          <w:rFonts w:hint="eastAsia" w:ascii="Times New Roman" w:hAnsi="Times New Roman" w:eastAsia="方正仿宋_GBK"/>
          <w:sz w:val="32"/>
          <w:szCs w:val="32"/>
        </w:rPr>
        <w:t>1．患者在定点医院或定点药店结算时仅需支付按规定应由个人负担的部分，医保基金支付部分由医保经办机构与定点医院和定点药店按月结算；2．长期异地居住的参保人员，经异地就医备案后，在异地医疗机构发生的国谈门诊保障用药门诊费用，参照现行门诊特病异地结算办法，由参保人员先行垫付相关费用，再到参保地医保经办机构按本办法的规定报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五、其他事项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（一）相关医疗机构应按要求采购国家谈判药品，不得以医保总额控制、药占比、医疗机构用药品种规格数量要求、药事委员会审定等为由影响国家谈判药品的供应保障与合理使用。</w:t>
      </w:r>
      <w:r>
        <w:rPr>
          <w:rFonts w:hint="eastAsia" w:ascii="Times New Roman" w:hAnsi="Times New Roman" w:eastAsia="方正仿宋_GBK"/>
          <w:sz w:val="32"/>
          <w:szCs w:val="32"/>
        </w:rPr>
        <w:t>各定点药房要确保药品质量和供应，保障患者用药需求，同时要遵守谈判药品价格规定，不得以超过国家谈判约定的支付标准销售。各区县医保部门要高度重视国家谈判药品门诊用药保障工作，加强统筹协调，指导督促本地区医保定点医疗机构做好落地工作，确保参保群众享受待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（二）各区县医保部门要积极会同相关部门做好国家谈判药品门诊用药保障工作，密切督查工作进展和规范。</w:t>
      </w:r>
      <w:r>
        <w:rPr>
          <w:rFonts w:hint="eastAsia" w:ascii="Times New Roman" w:hAnsi="Times New Roman" w:eastAsia="方正仿宋_GBK"/>
          <w:sz w:val="32"/>
          <w:szCs w:val="32"/>
        </w:rPr>
        <w:t>有关医疗机构要加强对国家谈判药品的管理和使用，完善谈判药品用药指南和规范，规范诊疗行为，促进合理用药。有关药店要按“三定”管理原则核实患者在医保信息系统中的备案信息，并做好方便患者的药品配送服务。相关药品企业负责做好国家谈判药品流通、配送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（三）各区县医保部门要健全监督举报、智能监控、信用管理等机制，严厉打击欺诈骗保行为，加强对违规行为的监管。</w:t>
      </w:r>
      <w:r>
        <w:rPr>
          <w:rFonts w:hint="eastAsia" w:ascii="Times New Roman" w:hAnsi="Times New Roman" w:eastAsia="方正仿宋_GBK"/>
          <w:sz w:val="32"/>
          <w:szCs w:val="32"/>
        </w:rPr>
        <w:t>要及时研究解决新情况新问题，总结推广经验做法。要加强宣传，合理引导，规范使用。要积极跟进政策措施的落地，妥善处理政策执行过程中出现的问题，不断完善国家谈判药品门诊用药保障机制建设。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六、本通知自2020年 9月15日起实施。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附件：国谈门诊保障用药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重庆市医疗保障局                                                                                  </w:t>
      </w:r>
    </w:p>
    <w:p>
      <w:pPr>
        <w:keepNext w:val="0"/>
        <w:keepLines w:val="0"/>
        <w:pageBreakBefore w:val="0"/>
        <w:kinsoku/>
        <w:wordWrap/>
        <w:overflowPunct/>
        <w:topLinePunct w:val="0"/>
        <w:autoSpaceDE/>
        <w:autoSpaceDN/>
        <w:bidi w:val="0"/>
        <w:adjustRightInd/>
        <w:snapToGrid/>
        <w:spacing w:line="600" w:lineRule="exact"/>
        <w:ind w:firstLine="768" w:firstLineChars="24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w:t>
      </w:r>
      <w:r>
        <w:rPr>
          <w:rFonts w:ascii="Times New Roman" w:hAnsi="Times New Roman" w:eastAsia="方正仿宋_GBK"/>
          <w:sz w:val="32"/>
          <w:szCs w:val="32"/>
        </w:rPr>
        <w:t>20</w:t>
      </w:r>
      <w:r>
        <w:rPr>
          <w:rFonts w:hint="eastAsia" w:ascii="Times New Roman" w:hAnsi="Times New Roman" w:eastAsia="方正仿宋_GBK"/>
          <w:sz w:val="32"/>
          <w:szCs w:val="32"/>
        </w:rPr>
        <w:t>年8月25日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 xml:space="preserve">此件公开发布 </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黑体_GBK" w:cs="宋体"/>
          <w:color w:val="000000"/>
          <w:sz w:val="32"/>
          <w:szCs w:val="32"/>
        </w:rPr>
      </w:pPr>
      <w:r>
        <w:rPr>
          <w:rFonts w:hint="eastAsia" w:ascii="Times New Roman" w:hAnsi="黑体" w:eastAsia="方正黑体_GBK" w:cs="宋体"/>
          <w:color w:val="000000"/>
          <w:sz w:val="32"/>
          <w:szCs w:val="32"/>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黑体" w:eastAsia="方正小标宋_GBK" w:cs="宋体"/>
          <w:bCs/>
          <w:color w:val="000000"/>
          <w:sz w:val="44"/>
          <w:szCs w:val="44"/>
        </w:rPr>
      </w:pPr>
      <w:r>
        <w:rPr>
          <w:rFonts w:hint="eastAsia" w:ascii="方正小标宋_GBK" w:eastAsia="方正小标宋_GBK"/>
          <w:bCs/>
          <w:sz w:val="44"/>
          <w:szCs w:val="44"/>
        </w:rPr>
        <w:t>国谈门诊保障用药</w:t>
      </w:r>
    </w:p>
    <w:tbl>
      <w:tblPr>
        <w:tblStyle w:val="7"/>
        <w:tblW w:w="14040" w:type="dxa"/>
        <w:jc w:val="center"/>
        <w:tblLayout w:type="fixed"/>
        <w:tblCellMar>
          <w:top w:w="0" w:type="dxa"/>
          <w:left w:w="108" w:type="dxa"/>
          <w:bottom w:w="0" w:type="dxa"/>
          <w:right w:w="108" w:type="dxa"/>
        </w:tblCellMar>
      </w:tblPr>
      <w:tblGrid>
        <w:gridCol w:w="801"/>
        <w:gridCol w:w="1859"/>
        <w:gridCol w:w="1556"/>
        <w:gridCol w:w="3319"/>
        <w:gridCol w:w="2212"/>
        <w:gridCol w:w="4293"/>
      </w:tblGrid>
      <w:tr>
        <w:tblPrEx>
          <w:tblCellMar>
            <w:top w:w="0" w:type="dxa"/>
            <w:left w:w="108" w:type="dxa"/>
            <w:bottom w:w="0" w:type="dxa"/>
            <w:right w:w="108" w:type="dxa"/>
          </w:tblCellMar>
        </w:tblPrEx>
        <w:trPr>
          <w:gridAfter w:val="5"/>
          <w:wAfter w:w="13239" w:type="dxa"/>
          <w:trHeight w:val="680" w:hRule="atLeast"/>
          <w:jc w:val="center"/>
        </w:trPr>
        <w:tc>
          <w:tcPr>
            <w:tcW w:w="801"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cs="宋体"/>
                <w:color w:val="000000"/>
                <w:sz w:val="32"/>
                <w:szCs w:val="32"/>
              </w:rPr>
            </w:pPr>
          </w:p>
        </w:tc>
      </w:tr>
      <w:tr>
        <w:tblPrEx>
          <w:tblCellMar>
            <w:top w:w="0" w:type="dxa"/>
            <w:left w:w="108" w:type="dxa"/>
            <w:bottom w:w="0" w:type="dxa"/>
            <w:right w:w="108" w:type="dxa"/>
          </w:tblCellMar>
        </w:tblPrEx>
        <w:trPr>
          <w:trHeight w:val="701"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序号</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通用名</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限定支付范围</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适用病种</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黑体_GBK" w:cs="宋体"/>
                <w:bCs/>
                <w:color w:val="000000"/>
                <w:sz w:val="24"/>
              </w:rPr>
            </w:pPr>
            <w:r>
              <w:rPr>
                <w:rFonts w:hint="eastAsia" w:ascii="Times New Roman" w:hAnsi="Times New Roman" w:eastAsia="方正黑体_GBK" w:cs="宋体"/>
                <w:bCs/>
                <w:color w:val="000000"/>
                <w:sz w:val="24"/>
              </w:rPr>
              <w:t>所需证明材料</w:t>
            </w:r>
          </w:p>
        </w:tc>
      </w:tr>
      <w:tr>
        <w:tblPrEx>
          <w:tblCellMar>
            <w:top w:w="0" w:type="dxa"/>
            <w:left w:w="108" w:type="dxa"/>
            <w:bottom w:w="0" w:type="dxa"/>
            <w:right w:w="108" w:type="dxa"/>
          </w:tblCellMar>
        </w:tblPrEx>
        <w:trPr>
          <w:trHeight w:val="544"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麦格司他</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宋体" w:cs="宋体"/>
                <w:color w:val="000000"/>
                <w:sz w:val="15"/>
                <w:szCs w:val="15"/>
              </w:rPr>
              <w:t>限</w:t>
            </w:r>
            <w:r>
              <w:rPr>
                <w:rFonts w:hint="eastAsia" w:ascii="Times New Roman" w:hAnsi="Times New Roman" w:cs="宋体"/>
                <w:color w:val="000000"/>
                <w:sz w:val="15"/>
                <w:szCs w:val="15"/>
              </w:rPr>
              <w:t>C</w:t>
            </w:r>
            <w:r>
              <w:rPr>
                <w:rFonts w:hint="eastAsia" w:ascii="Times New Roman" w:hAnsi="宋体" w:cs="宋体"/>
                <w:color w:val="000000"/>
                <w:sz w:val="15"/>
                <w:szCs w:val="15"/>
              </w:rPr>
              <w:t>型尼曼匹克病患者。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Times New Roman" w:cs="宋体"/>
                <w:color w:val="000000"/>
                <w:sz w:val="15"/>
                <w:szCs w:val="15"/>
              </w:rPr>
              <w:t>C</w:t>
            </w:r>
            <w:r>
              <w:rPr>
                <w:rFonts w:hint="eastAsia" w:ascii="Times New Roman" w:hAnsi="宋体" w:cs="宋体"/>
                <w:color w:val="000000"/>
                <w:sz w:val="15"/>
                <w:szCs w:val="15"/>
              </w:rPr>
              <w:t>型尼曼匹克病</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基因检测显示（</w:t>
            </w:r>
            <w:r>
              <w:rPr>
                <w:rFonts w:hint="eastAsia" w:ascii="Times New Roman" w:hAnsi="Times New Roman" w:cs="宋体"/>
                <w:color w:val="000000"/>
                <w:sz w:val="15"/>
                <w:szCs w:val="15"/>
              </w:rPr>
              <w:t xml:space="preserve">NPC1 </w:t>
            </w:r>
            <w:r>
              <w:rPr>
                <w:rFonts w:hint="eastAsia" w:ascii="Times New Roman" w:hAnsi="宋体" w:cs="宋体"/>
                <w:color w:val="000000"/>
                <w:sz w:val="15"/>
                <w:szCs w:val="15"/>
              </w:rPr>
              <w:t>和</w:t>
            </w:r>
            <w:r>
              <w:rPr>
                <w:rFonts w:hint="eastAsia" w:ascii="Times New Roman" w:hAnsi="Times New Roman" w:cs="宋体"/>
                <w:color w:val="000000"/>
                <w:sz w:val="15"/>
                <w:szCs w:val="15"/>
              </w:rPr>
              <w:t>/</w:t>
            </w:r>
            <w:r>
              <w:rPr>
                <w:rFonts w:hint="eastAsia" w:ascii="Times New Roman" w:hAnsi="宋体" w:cs="宋体"/>
                <w:color w:val="000000"/>
                <w:sz w:val="15"/>
                <w:szCs w:val="15"/>
              </w:rPr>
              <w:t>或</w:t>
            </w:r>
            <w:r>
              <w:rPr>
                <w:rFonts w:hint="eastAsia" w:ascii="Times New Roman" w:hAnsi="Times New Roman" w:cs="宋体"/>
                <w:color w:val="000000"/>
                <w:sz w:val="15"/>
                <w:szCs w:val="15"/>
              </w:rPr>
              <w:t xml:space="preserve"> NPC2</w:t>
            </w:r>
            <w:r>
              <w:rPr>
                <w:rFonts w:hint="eastAsia" w:ascii="Times New Roman" w:hAnsi="宋体" w:cs="宋体"/>
                <w:color w:val="000000"/>
                <w:sz w:val="15"/>
                <w:szCs w:val="15"/>
              </w:rPr>
              <w:t>）突变；</w:t>
            </w:r>
            <w:r>
              <w:rPr>
                <w:rFonts w:hint="eastAsia" w:ascii="Times New Roman" w:hAnsi="Times New Roman" w:cs="宋体"/>
                <w:color w:val="000000"/>
                <w:sz w:val="15"/>
                <w:szCs w:val="15"/>
              </w:rPr>
              <w:t>3.</w:t>
            </w:r>
            <w:r>
              <w:rPr>
                <w:rFonts w:hint="eastAsia" w:ascii="Times New Roman" w:hAnsi="宋体" w:cs="宋体"/>
                <w:color w:val="000000"/>
                <w:sz w:val="15"/>
                <w:szCs w:val="15"/>
              </w:rPr>
              <w:t>临床表现；</w:t>
            </w:r>
            <w:r>
              <w:rPr>
                <w:rFonts w:hint="eastAsia" w:ascii="Times New Roman" w:hAnsi="Times New Roman" w:cs="宋体"/>
                <w:color w:val="000000"/>
                <w:sz w:val="15"/>
                <w:szCs w:val="15"/>
              </w:rPr>
              <w:t>4.</w:t>
            </w:r>
            <w:r>
              <w:rPr>
                <w:rFonts w:hint="eastAsia" w:ascii="Times New Roman" w:hAnsi="宋体" w:cs="宋体"/>
                <w:color w:val="000000"/>
                <w:sz w:val="15"/>
                <w:szCs w:val="15"/>
              </w:rPr>
              <w:t>血常规。</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Times New Roman" w:cs="宋体"/>
                <w:color w:val="000000"/>
                <w:sz w:val="15"/>
                <w:szCs w:val="15"/>
              </w:rPr>
              <w:t>2</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司来帕格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宋体" w:cs="宋体"/>
                <w:color w:val="000000"/>
                <w:sz w:val="15"/>
                <w:szCs w:val="15"/>
              </w:rPr>
              <w:t>限</w:t>
            </w:r>
            <w:r>
              <w:rPr>
                <w:rFonts w:hint="eastAsia" w:ascii="Times New Roman" w:hAnsi="Times New Roman" w:cs="宋体"/>
                <w:color w:val="000000"/>
                <w:sz w:val="15"/>
                <w:szCs w:val="15"/>
              </w:rPr>
              <w:t>WHO</w:t>
            </w:r>
            <w:r>
              <w:rPr>
                <w:rFonts w:hint="eastAsia" w:ascii="Times New Roman" w:hAnsi="宋体" w:cs="宋体"/>
                <w:color w:val="000000"/>
                <w:sz w:val="15"/>
                <w:szCs w:val="15"/>
              </w:rPr>
              <w:t>功能分级</w:t>
            </w:r>
            <w:r>
              <w:rPr>
                <w:rFonts w:hint="eastAsia" w:ascii="Times New Roman" w:hAnsi="Times New Roman" w:cs="宋体"/>
                <w:color w:val="000000"/>
                <w:sz w:val="15"/>
                <w:szCs w:val="15"/>
              </w:rPr>
              <w:t>II</w:t>
            </w:r>
            <w:r>
              <w:rPr>
                <w:rFonts w:hint="eastAsia" w:ascii="Times New Roman" w:hAnsi="宋体" w:cs="宋体"/>
                <w:color w:val="000000"/>
                <w:sz w:val="15"/>
                <w:szCs w:val="15"/>
              </w:rPr>
              <w:t>级</w:t>
            </w:r>
            <w:r>
              <w:rPr>
                <w:rFonts w:hint="eastAsia" w:ascii="Times New Roman" w:hAnsi="Times New Roman" w:cs="宋体"/>
                <w:color w:val="000000"/>
                <w:sz w:val="15"/>
                <w:szCs w:val="15"/>
              </w:rPr>
              <w:t>-III</w:t>
            </w:r>
            <w:r>
              <w:rPr>
                <w:rFonts w:hint="eastAsia" w:ascii="Times New Roman" w:hAnsi="宋体" w:cs="宋体"/>
                <w:color w:val="000000"/>
                <w:sz w:val="15"/>
                <w:szCs w:val="15"/>
              </w:rPr>
              <w:t>级的肺动脉高压（</w:t>
            </w:r>
            <w:r>
              <w:rPr>
                <w:rFonts w:hint="eastAsia" w:ascii="Times New Roman" w:hAnsi="Times New Roman" w:cs="宋体"/>
                <w:color w:val="000000"/>
                <w:sz w:val="15"/>
                <w:szCs w:val="15"/>
              </w:rPr>
              <w:t>WHO</w:t>
            </w:r>
            <w:r>
              <w:rPr>
                <w:rFonts w:hint="eastAsia" w:ascii="Times New Roman" w:hAnsi="宋体" w:cs="宋体"/>
                <w:color w:val="000000"/>
                <w:sz w:val="15"/>
                <w:szCs w:val="15"/>
              </w:rPr>
              <w:t>第</w:t>
            </w:r>
            <w:r>
              <w:rPr>
                <w:rFonts w:hint="eastAsia" w:ascii="Times New Roman" w:hAnsi="Times New Roman" w:cs="宋体"/>
                <w:color w:val="000000"/>
                <w:sz w:val="15"/>
                <w:szCs w:val="15"/>
              </w:rPr>
              <w:t>1</w:t>
            </w:r>
            <w:r>
              <w:rPr>
                <w:rFonts w:hint="eastAsia" w:ascii="Times New Roman" w:hAnsi="宋体" w:cs="宋体"/>
                <w:color w:val="000000"/>
                <w:sz w:val="15"/>
                <w:szCs w:val="15"/>
              </w:rPr>
              <w:t>组）的患者。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肺动脉高压</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右心导管检查或至少</w:t>
            </w:r>
            <w:r>
              <w:rPr>
                <w:rFonts w:hint="eastAsia" w:ascii="Times New Roman" w:hAnsi="Times New Roman" w:cs="宋体"/>
                <w:color w:val="000000"/>
                <w:sz w:val="15"/>
                <w:szCs w:val="15"/>
              </w:rPr>
              <w:t>2</w:t>
            </w:r>
            <w:r>
              <w:rPr>
                <w:rFonts w:hint="eastAsia" w:ascii="Times New Roman" w:hAnsi="宋体" w:cs="宋体"/>
                <w:color w:val="000000"/>
                <w:sz w:val="15"/>
                <w:szCs w:val="15"/>
              </w:rPr>
              <w:t>次超声心动图。</w:t>
            </w:r>
          </w:p>
        </w:tc>
      </w:tr>
      <w:tr>
        <w:tblPrEx>
          <w:tblCellMar>
            <w:top w:w="0" w:type="dxa"/>
            <w:left w:w="108" w:type="dxa"/>
            <w:bottom w:w="0" w:type="dxa"/>
            <w:right w:w="108" w:type="dxa"/>
          </w:tblCellMar>
        </w:tblPrEx>
        <w:trPr>
          <w:trHeight w:val="106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Times New Roman" w:cs="宋体"/>
                <w:color w:val="000000"/>
                <w:sz w:val="15"/>
                <w:szCs w:val="15"/>
              </w:rPr>
              <w:t>3</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重组人凝血因子Ⅶ</w:t>
            </w:r>
            <w:r>
              <w:rPr>
                <w:rFonts w:hint="eastAsia" w:ascii="Times New Roman" w:hAnsi="Times New Roman" w:cs="宋体"/>
                <w:color w:val="000000"/>
                <w:sz w:val="15"/>
                <w:szCs w:val="15"/>
              </w:rPr>
              <w:t>a</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、凝血因子Ⅷ或Ⅸ的抑制物</w:t>
            </w:r>
            <w:r>
              <w:rPr>
                <w:rFonts w:hint="eastAsia" w:ascii="Times New Roman" w:hAnsi="Times New Roman" w:cs="宋体"/>
                <w:color w:val="000000"/>
                <w:sz w:val="15"/>
                <w:szCs w:val="15"/>
              </w:rPr>
              <w:t>&gt;5BU</w:t>
            </w:r>
            <w:r>
              <w:rPr>
                <w:rFonts w:hint="eastAsia" w:ascii="Times New Roman" w:hAnsi="宋体" w:cs="宋体"/>
                <w:color w:val="000000"/>
                <w:sz w:val="15"/>
                <w:szCs w:val="15"/>
              </w:rPr>
              <w:t>的先天性血友病患者。</w:t>
            </w:r>
            <w:r>
              <w:rPr>
                <w:rFonts w:hint="eastAsia" w:ascii="Times New Roman" w:hAnsi="Times New Roman" w:cs="宋体"/>
                <w:color w:val="000000"/>
                <w:sz w:val="15"/>
                <w:szCs w:val="15"/>
              </w:rPr>
              <w:t>2</w:t>
            </w:r>
            <w:r>
              <w:rPr>
                <w:rFonts w:hint="eastAsia" w:ascii="Times New Roman" w:hAnsi="宋体" w:cs="宋体"/>
                <w:color w:val="000000"/>
                <w:sz w:val="15"/>
                <w:szCs w:val="15"/>
              </w:rPr>
              <w:t>、获得性血友病患者。</w:t>
            </w:r>
            <w:r>
              <w:rPr>
                <w:rFonts w:hint="eastAsia" w:ascii="Times New Roman" w:hAnsi="Times New Roman" w:cs="宋体"/>
                <w:color w:val="000000"/>
                <w:sz w:val="15"/>
                <w:szCs w:val="15"/>
              </w:rPr>
              <w:t>3</w:t>
            </w:r>
            <w:r>
              <w:rPr>
                <w:rFonts w:hint="eastAsia" w:ascii="Times New Roman" w:hAnsi="宋体" w:cs="宋体"/>
                <w:color w:val="000000"/>
                <w:sz w:val="15"/>
                <w:szCs w:val="15"/>
              </w:rPr>
              <w:t>、先天性</w:t>
            </w:r>
            <w:r>
              <w:rPr>
                <w:rFonts w:hint="eastAsia" w:ascii="Times New Roman" w:hAnsi="Times New Roman" w:cs="宋体"/>
                <w:color w:val="000000"/>
                <w:sz w:val="15"/>
                <w:szCs w:val="15"/>
              </w:rPr>
              <w:t>F</w:t>
            </w:r>
            <w:r>
              <w:rPr>
                <w:rFonts w:hint="eastAsia" w:ascii="Times New Roman" w:hAnsi="宋体" w:cs="宋体"/>
                <w:color w:val="000000"/>
                <w:sz w:val="15"/>
                <w:szCs w:val="15"/>
              </w:rPr>
              <w:t>Ⅶ缺乏症患者。</w:t>
            </w:r>
            <w:r>
              <w:rPr>
                <w:rFonts w:hint="eastAsia" w:ascii="Times New Roman" w:hAnsi="Times New Roman" w:cs="宋体"/>
                <w:color w:val="000000"/>
                <w:sz w:val="15"/>
                <w:szCs w:val="15"/>
              </w:rPr>
              <w:t>4</w:t>
            </w:r>
            <w:r>
              <w:rPr>
                <w:rFonts w:hint="eastAsia" w:ascii="Times New Roman" w:hAnsi="宋体" w:cs="宋体"/>
                <w:color w:val="000000"/>
                <w:sz w:val="15"/>
                <w:szCs w:val="15"/>
              </w:rPr>
              <w:t>、具有</w:t>
            </w:r>
            <w:r>
              <w:rPr>
                <w:rFonts w:hint="eastAsia" w:ascii="Times New Roman" w:hAnsi="Times New Roman" w:cs="宋体"/>
                <w:color w:val="000000"/>
                <w:sz w:val="15"/>
                <w:szCs w:val="15"/>
              </w:rPr>
              <w:t>GPIIb-IIIa</w:t>
            </w:r>
            <w:r>
              <w:rPr>
                <w:rFonts w:hint="eastAsia" w:ascii="Times New Roman" w:hAnsi="宋体" w:cs="宋体"/>
                <w:color w:val="000000"/>
                <w:sz w:val="15"/>
                <w:szCs w:val="15"/>
              </w:rPr>
              <w:t>和</w:t>
            </w:r>
            <w:r>
              <w:rPr>
                <w:rFonts w:hint="eastAsia" w:ascii="Times New Roman" w:hAnsi="Times New Roman" w:cs="宋体"/>
                <w:color w:val="000000"/>
                <w:sz w:val="15"/>
                <w:szCs w:val="15"/>
              </w:rPr>
              <w:t>/</w:t>
            </w:r>
            <w:r>
              <w:rPr>
                <w:rFonts w:hint="eastAsia" w:ascii="Times New Roman" w:hAnsi="宋体" w:cs="宋体"/>
                <w:color w:val="000000"/>
                <w:sz w:val="15"/>
                <w:szCs w:val="15"/>
              </w:rPr>
              <w:t>或</w:t>
            </w:r>
            <w:r>
              <w:rPr>
                <w:rFonts w:hint="eastAsia" w:ascii="Times New Roman" w:hAnsi="Times New Roman" w:cs="宋体"/>
                <w:color w:val="000000"/>
                <w:sz w:val="15"/>
                <w:szCs w:val="15"/>
              </w:rPr>
              <w:t>HLA</w:t>
            </w:r>
            <w:r>
              <w:rPr>
                <w:rFonts w:hint="eastAsia" w:ascii="Times New Roman" w:hAnsi="宋体" w:cs="宋体"/>
                <w:color w:val="000000"/>
                <w:sz w:val="15"/>
                <w:szCs w:val="15"/>
              </w:rPr>
              <w:t>抗体和既往或现在对血小板输注无效或不佳的血小板无力症患者。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先天性血友病</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检查报告须符合下列两项：</w:t>
            </w:r>
            <w:r>
              <w:rPr>
                <w:rFonts w:hint="eastAsia" w:ascii="Times New Roman" w:hAnsi="Times New Roman" w:cs="宋体"/>
                <w:color w:val="000000"/>
                <w:sz w:val="15"/>
                <w:szCs w:val="15"/>
              </w:rPr>
              <w:t>1</w:t>
            </w:r>
            <w:r>
              <w:rPr>
                <w:rFonts w:hint="eastAsia" w:ascii="Times New Roman" w:hAnsi="宋体" w:cs="宋体"/>
                <w:color w:val="000000"/>
                <w:sz w:val="15"/>
                <w:szCs w:val="15"/>
              </w:rPr>
              <w:t>）凝血因子Ⅷ或Ⅸ的活性降低，</w:t>
            </w:r>
            <w:r>
              <w:rPr>
                <w:rFonts w:hint="eastAsia" w:ascii="Times New Roman" w:hAnsi="Times New Roman" w:cs="宋体"/>
                <w:color w:val="000000"/>
                <w:sz w:val="15"/>
                <w:szCs w:val="15"/>
              </w:rPr>
              <w:t>2</w:t>
            </w:r>
            <w:r>
              <w:rPr>
                <w:rFonts w:hint="eastAsia" w:ascii="Times New Roman" w:hAnsi="宋体" w:cs="宋体"/>
                <w:color w:val="000000"/>
                <w:sz w:val="15"/>
                <w:szCs w:val="15"/>
              </w:rPr>
              <w:t>）凝血因子Ⅷ或Ⅸ的抑制物</w:t>
            </w:r>
            <w:r>
              <w:rPr>
                <w:rFonts w:hint="eastAsia" w:ascii="Times New Roman" w:hAnsi="Times New Roman" w:cs="宋体"/>
                <w:color w:val="000000"/>
                <w:sz w:val="15"/>
                <w:szCs w:val="15"/>
              </w:rPr>
              <w:t>&gt;5BU</w:t>
            </w:r>
            <w:r>
              <w:rPr>
                <w:rFonts w:hint="eastAsia" w:ascii="Times New Roman" w:hAnsi="宋体" w:cs="宋体"/>
                <w:color w:val="000000"/>
                <w:sz w:val="15"/>
                <w:szCs w:val="15"/>
              </w:rPr>
              <w:t>。</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获得性血友病</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凝血因子、凝血功能检查符合获得性血友病。</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宋体" w:cs="宋体"/>
                <w:color w:val="000000"/>
                <w:sz w:val="15"/>
                <w:szCs w:val="15"/>
              </w:rPr>
              <w:t>先天性</w:t>
            </w:r>
            <w:r>
              <w:rPr>
                <w:rFonts w:hint="eastAsia" w:ascii="Times New Roman" w:hAnsi="Times New Roman" w:cs="宋体"/>
                <w:color w:val="000000"/>
                <w:sz w:val="15"/>
                <w:szCs w:val="15"/>
              </w:rPr>
              <w:t>F</w:t>
            </w:r>
            <w:r>
              <w:rPr>
                <w:rFonts w:hint="eastAsia" w:ascii="Times New Roman" w:hAnsi="宋体" w:cs="宋体"/>
                <w:color w:val="000000"/>
                <w:sz w:val="15"/>
                <w:szCs w:val="15"/>
              </w:rPr>
              <w:t>Ⅶ缺乏症</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Ⅶ因子活性检测或基因检测报告。</w:t>
            </w:r>
          </w:p>
        </w:tc>
      </w:tr>
      <w:tr>
        <w:tblPrEx>
          <w:tblCellMar>
            <w:top w:w="0" w:type="dxa"/>
            <w:left w:w="108" w:type="dxa"/>
            <w:bottom w:w="0" w:type="dxa"/>
            <w:right w:w="108" w:type="dxa"/>
          </w:tblCellMar>
        </w:tblPrEx>
        <w:trPr>
          <w:trHeight w:val="1328"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血小板无力症</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2.GPIIb-IIIa</w:t>
            </w:r>
            <w:r>
              <w:rPr>
                <w:rFonts w:hint="eastAsia" w:ascii="Times New Roman" w:hAnsi="宋体" w:cs="宋体"/>
                <w:color w:val="000000"/>
                <w:sz w:val="15"/>
                <w:szCs w:val="15"/>
              </w:rPr>
              <w:t>和</w:t>
            </w:r>
            <w:r>
              <w:rPr>
                <w:rFonts w:hint="eastAsia" w:ascii="Times New Roman" w:hAnsi="Times New Roman" w:cs="宋体"/>
                <w:color w:val="000000"/>
                <w:sz w:val="15"/>
                <w:szCs w:val="15"/>
              </w:rPr>
              <w:t>/</w:t>
            </w:r>
            <w:r>
              <w:rPr>
                <w:rFonts w:hint="eastAsia" w:ascii="Times New Roman" w:hAnsi="宋体" w:cs="宋体"/>
                <w:color w:val="000000"/>
                <w:sz w:val="15"/>
                <w:szCs w:val="15"/>
              </w:rPr>
              <w:t>或</w:t>
            </w:r>
            <w:r>
              <w:rPr>
                <w:rFonts w:hint="eastAsia" w:ascii="Times New Roman" w:hAnsi="Times New Roman" w:cs="宋体"/>
                <w:color w:val="000000"/>
                <w:sz w:val="15"/>
                <w:szCs w:val="15"/>
              </w:rPr>
              <w:t>HLA</w:t>
            </w:r>
            <w:r>
              <w:rPr>
                <w:rFonts w:hint="eastAsia" w:ascii="Times New Roman" w:hAnsi="宋体" w:cs="宋体"/>
                <w:color w:val="000000"/>
                <w:sz w:val="15"/>
                <w:szCs w:val="15"/>
              </w:rPr>
              <w:t>抗体检查报告；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既往或现在对血小板输注无效或不佳的病史资料。</w:t>
            </w:r>
          </w:p>
        </w:tc>
      </w:tr>
      <w:tr>
        <w:tblPrEx>
          <w:tblCellMar>
            <w:top w:w="0" w:type="dxa"/>
            <w:left w:w="108" w:type="dxa"/>
            <w:bottom w:w="0" w:type="dxa"/>
            <w:right w:w="108" w:type="dxa"/>
          </w:tblCellMar>
        </w:tblPrEx>
        <w:trPr>
          <w:trHeight w:val="1328"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波生坦</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32mg/</w:t>
            </w:r>
            <w:r>
              <w:rPr>
                <w:rFonts w:hint="eastAsia" w:ascii="Times New Roman" w:hAnsi="宋体" w:cs="宋体"/>
                <w:color w:val="000000"/>
                <w:sz w:val="15"/>
                <w:szCs w:val="15"/>
              </w:rPr>
              <w:t>片（分散片）限</w:t>
            </w:r>
            <w:r>
              <w:rPr>
                <w:rFonts w:hint="eastAsia" w:ascii="Times New Roman" w:hAnsi="Times New Roman" w:cs="宋体"/>
                <w:color w:val="000000"/>
                <w:sz w:val="15"/>
                <w:szCs w:val="15"/>
              </w:rPr>
              <w:t>3-12</w:t>
            </w:r>
            <w:r>
              <w:rPr>
                <w:rFonts w:hint="eastAsia" w:ascii="Times New Roman" w:hAnsi="宋体" w:cs="宋体"/>
                <w:color w:val="000000"/>
                <w:sz w:val="15"/>
                <w:szCs w:val="15"/>
              </w:rPr>
              <w:t>岁特发性或先天性肺动脉高压患者；</w:t>
            </w:r>
            <w:r>
              <w:rPr>
                <w:rFonts w:hint="eastAsia" w:ascii="Times New Roman" w:hAnsi="Times New Roman" w:cs="宋体"/>
                <w:color w:val="000000"/>
                <w:sz w:val="15"/>
                <w:szCs w:val="15"/>
              </w:rPr>
              <w:t>125mg/</w:t>
            </w:r>
            <w:r>
              <w:rPr>
                <w:rFonts w:hint="eastAsia" w:ascii="Times New Roman" w:hAnsi="宋体" w:cs="宋体"/>
                <w:color w:val="000000"/>
                <w:sz w:val="15"/>
                <w:szCs w:val="15"/>
              </w:rPr>
              <w:t>片限</w:t>
            </w:r>
            <w:r>
              <w:rPr>
                <w:rFonts w:hint="eastAsia" w:ascii="Times New Roman" w:hAnsi="Times New Roman" w:cs="宋体"/>
                <w:color w:val="000000"/>
                <w:sz w:val="15"/>
                <w:szCs w:val="15"/>
              </w:rPr>
              <w:t>WHO</w:t>
            </w:r>
            <w:r>
              <w:rPr>
                <w:rFonts w:hint="eastAsia" w:ascii="Times New Roman" w:hAnsi="宋体" w:cs="宋体"/>
                <w:color w:val="000000"/>
                <w:sz w:val="15"/>
                <w:szCs w:val="15"/>
              </w:rPr>
              <w:t>功能分级</w:t>
            </w:r>
            <w:r>
              <w:rPr>
                <w:rFonts w:hint="eastAsia" w:ascii="Times New Roman" w:hAnsi="Times New Roman" w:cs="宋体"/>
                <w:color w:val="000000"/>
                <w:sz w:val="15"/>
                <w:szCs w:val="15"/>
              </w:rPr>
              <w:t>II</w:t>
            </w:r>
            <w:r>
              <w:rPr>
                <w:rFonts w:hint="eastAsia" w:ascii="Times New Roman" w:hAnsi="宋体" w:cs="宋体"/>
                <w:color w:val="000000"/>
                <w:sz w:val="15"/>
                <w:szCs w:val="15"/>
              </w:rPr>
              <w:t>级</w:t>
            </w:r>
            <w:r>
              <w:rPr>
                <w:rFonts w:hint="eastAsia" w:ascii="Times New Roman" w:hAnsi="Times New Roman" w:cs="宋体"/>
                <w:color w:val="000000"/>
                <w:sz w:val="15"/>
                <w:szCs w:val="15"/>
              </w:rPr>
              <w:t>- IV</w:t>
            </w:r>
            <w:r>
              <w:rPr>
                <w:rFonts w:hint="eastAsia" w:ascii="Times New Roman" w:hAnsi="宋体" w:cs="宋体"/>
                <w:color w:val="000000"/>
                <w:sz w:val="15"/>
                <w:szCs w:val="15"/>
              </w:rPr>
              <w:t>级的肺动脉高压（</w:t>
            </w:r>
            <w:r>
              <w:rPr>
                <w:rFonts w:hint="eastAsia" w:ascii="Times New Roman" w:hAnsi="Times New Roman" w:cs="宋体"/>
                <w:color w:val="000000"/>
                <w:sz w:val="15"/>
                <w:szCs w:val="15"/>
              </w:rPr>
              <w:t>WHO</w:t>
            </w:r>
            <w:r>
              <w:rPr>
                <w:rFonts w:hint="eastAsia" w:ascii="Times New Roman" w:hAnsi="宋体" w:cs="宋体"/>
                <w:color w:val="000000"/>
                <w:sz w:val="15"/>
                <w:szCs w:val="15"/>
              </w:rPr>
              <w:t>第</w:t>
            </w:r>
            <w:r>
              <w:rPr>
                <w:rFonts w:hint="eastAsia" w:ascii="Times New Roman" w:hAnsi="Times New Roman" w:cs="宋体"/>
                <w:color w:val="000000"/>
                <w:sz w:val="15"/>
                <w:szCs w:val="15"/>
              </w:rPr>
              <w:t>1</w:t>
            </w:r>
            <w:r>
              <w:rPr>
                <w:rFonts w:hint="eastAsia" w:ascii="Times New Roman" w:hAnsi="宋体" w:cs="宋体"/>
                <w:color w:val="000000"/>
                <w:sz w:val="15"/>
                <w:szCs w:val="15"/>
              </w:rPr>
              <w:t>组）的患者。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肺动脉高压</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右心导管检查或</w:t>
            </w:r>
            <w:r>
              <w:rPr>
                <w:rFonts w:hint="eastAsia" w:ascii="Times New Roman" w:hAnsi="Times New Roman" w:cs="宋体"/>
                <w:color w:val="000000"/>
                <w:sz w:val="15"/>
                <w:szCs w:val="15"/>
              </w:rPr>
              <w:t>2</w:t>
            </w:r>
            <w:r>
              <w:rPr>
                <w:rFonts w:hint="eastAsia" w:ascii="Times New Roman" w:hAnsi="宋体" w:cs="宋体"/>
                <w:color w:val="000000"/>
                <w:sz w:val="15"/>
                <w:szCs w:val="15"/>
              </w:rPr>
              <w:t>次以上超声心动图。</w:t>
            </w:r>
          </w:p>
        </w:tc>
      </w:tr>
      <w:tr>
        <w:tblPrEx>
          <w:tblCellMar>
            <w:top w:w="0" w:type="dxa"/>
            <w:left w:w="108" w:type="dxa"/>
            <w:bottom w:w="0" w:type="dxa"/>
            <w:right w:w="108" w:type="dxa"/>
          </w:tblCellMar>
        </w:tblPrEx>
        <w:trPr>
          <w:trHeight w:val="1738"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w:t>
            </w:r>
          </w:p>
        </w:tc>
        <w:tc>
          <w:tcPr>
            <w:tcW w:w="185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罗沙司他</w:t>
            </w:r>
          </w:p>
        </w:tc>
        <w:tc>
          <w:tcPr>
            <w:tcW w:w="15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限慢性肾脏病引起贫血的患者。</w:t>
            </w:r>
          </w:p>
        </w:tc>
        <w:tc>
          <w:tcPr>
            <w:tcW w:w="221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肾性贫血</w:t>
            </w:r>
          </w:p>
        </w:tc>
        <w:tc>
          <w:tcPr>
            <w:tcW w:w="42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w:t>
            </w:r>
            <w:r>
              <w:rPr>
                <w:rFonts w:hint="eastAsia" w:ascii="Times New Roman" w:hAnsi="Times New Roman" w:cs="宋体"/>
                <w:color w:val="000000"/>
                <w:sz w:val="15"/>
                <w:szCs w:val="15"/>
              </w:rPr>
              <w:t>3.</w:t>
            </w:r>
            <w:r>
              <w:rPr>
                <w:rFonts w:hint="eastAsia" w:ascii="Times New Roman" w:hAnsi="宋体" w:cs="宋体"/>
                <w:color w:val="000000"/>
                <w:sz w:val="15"/>
                <w:szCs w:val="15"/>
              </w:rPr>
              <w:t>肾功能检查。</w:t>
            </w:r>
          </w:p>
        </w:tc>
      </w:tr>
      <w:tr>
        <w:tblPrEx>
          <w:tblCellMar>
            <w:top w:w="0" w:type="dxa"/>
            <w:left w:w="108" w:type="dxa"/>
            <w:bottom w:w="0" w:type="dxa"/>
            <w:right w:w="108" w:type="dxa"/>
          </w:tblCellMar>
        </w:tblPrEx>
        <w:trPr>
          <w:trHeight w:val="2113"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6</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利奥西呱</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术后持续性或复发性慢性血栓栓塞性肺动脉高压（</w:t>
            </w:r>
            <w:r>
              <w:rPr>
                <w:rFonts w:hint="eastAsia" w:ascii="Times New Roman" w:hAnsi="Times New Roman" w:cs="宋体"/>
                <w:color w:val="000000"/>
                <w:sz w:val="15"/>
                <w:szCs w:val="15"/>
              </w:rPr>
              <w:t>CTEPH</w:t>
            </w:r>
            <w:r>
              <w:rPr>
                <w:rFonts w:hint="eastAsia" w:ascii="Times New Roman" w:hAnsi="宋体" w:cs="宋体"/>
                <w:color w:val="000000"/>
                <w:sz w:val="15"/>
                <w:szCs w:val="15"/>
              </w:rPr>
              <w:t>）或不能手术的</w:t>
            </w:r>
            <w:r>
              <w:rPr>
                <w:rFonts w:hint="eastAsia" w:ascii="Times New Roman" w:hAnsi="Times New Roman" w:cs="宋体"/>
                <w:color w:val="000000"/>
                <w:sz w:val="15"/>
                <w:szCs w:val="15"/>
              </w:rPr>
              <w:t>CTEPH</w:t>
            </w:r>
            <w:r>
              <w:rPr>
                <w:rFonts w:hint="eastAsia" w:ascii="Times New Roman" w:hAnsi="宋体" w:cs="宋体"/>
                <w:color w:val="000000"/>
                <w:sz w:val="15"/>
                <w:szCs w:val="15"/>
              </w:rPr>
              <w:t>，且（</w:t>
            </w:r>
            <w:r>
              <w:rPr>
                <w:rFonts w:hint="eastAsia" w:ascii="Times New Roman" w:hAnsi="Times New Roman" w:cs="宋体"/>
                <w:color w:val="000000"/>
                <w:sz w:val="15"/>
                <w:szCs w:val="15"/>
              </w:rPr>
              <w:t>WHO FC</w:t>
            </w:r>
            <w:r>
              <w:rPr>
                <w:rFonts w:hint="eastAsia" w:ascii="Times New Roman" w:hAnsi="宋体" w:cs="宋体"/>
                <w:color w:val="000000"/>
                <w:sz w:val="15"/>
                <w:szCs w:val="15"/>
              </w:rPr>
              <w:t>）为</w:t>
            </w:r>
            <w:r>
              <w:rPr>
                <w:rFonts w:hint="eastAsia" w:ascii="Times New Roman" w:hAnsi="Times New Roman" w:cs="宋体"/>
                <w:color w:val="000000"/>
                <w:sz w:val="15"/>
                <w:szCs w:val="15"/>
              </w:rPr>
              <w:t>II-III</w:t>
            </w:r>
            <w:r>
              <w:rPr>
                <w:rFonts w:hint="eastAsia" w:ascii="Times New Roman" w:hAnsi="宋体" w:cs="宋体"/>
                <w:color w:val="000000"/>
                <w:sz w:val="15"/>
                <w:szCs w:val="15"/>
              </w:rPr>
              <w:t>的患者；</w:t>
            </w:r>
            <w:r>
              <w:rPr>
                <w:rFonts w:hint="eastAsia" w:ascii="Times New Roman" w:hAnsi="Times New Roman" w:cs="宋体"/>
                <w:color w:val="000000"/>
                <w:sz w:val="15"/>
                <w:szCs w:val="15"/>
              </w:rPr>
              <w:t xml:space="preserve"> 2.</w:t>
            </w:r>
            <w:r>
              <w:rPr>
                <w:rFonts w:hint="eastAsia" w:ascii="Times New Roman" w:hAnsi="宋体" w:cs="宋体"/>
                <w:color w:val="000000"/>
                <w:sz w:val="15"/>
                <w:szCs w:val="15"/>
              </w:rPr>
              <w:t>动脉性肺动脉高压（</w:t>
            </w:r>
            <w:r>
              <w:rPr>
                <w:rFonts w:hint="eastAsia" w:ascii="Times New Roman" w:hAnsi="Times New Roman" w:cs="宋体"/>
                <w:color w:val="000000"/>
                <w:sz w:val="15"/>
                <w:szCs w:val="15"/>
              </w:rPr>
              <w:t>PAH</w:t>
            </w:r>
            <w:r>
              <w:rPr>
                <w:rFonts w:hint="eastAsia" w:ascii="Times New Roman" w:hAnsi="宋体" w:cs="宋体"/>
                <w:color w:val="000000"/>
                <w:sz w:val="15"/>
                <w:szCs w:val="15"/>
              </w:rPr>
              <w:t>）且（</w:t>
            </w:r>
            <w:r>
              <w:rPr>
                <w:rFonts w:hint="eastAsia" w:ascii="Times New Roman" w:hAnsi="Times New Roman" w:cs="宋体"/>
                <w:color w:val="000000"/>
                <w:sz w:val="15"/>
                <w:szCs w:val="15"/>
              </w:rPr>
              <w:t>WHO FC</w:t>
            </w:r>
            <w:r>
              <w:rPr>
                <w:rFonts w:hint="eastAsia" w:ascii="Times New Roman" w:hAnsi="宋体" w:cs="宋体"/>
                <w:color w:val="000000"/>
                <w:sz w:val="15"/>
                <w:szCs w:val="15"/>
              </w:rPr>
              <w:t>）为</w:t>
            </w:r>
            <w:r>
              <w:rPr>
                <w:rFonts w:hint="eastAsia" w:ascii="Times New Roman" w:hAnsi="Times New Roman" w:cs="宋体"/>
                <w:color w:val="000000"/>
                <w:sz w:val="15"/>
                <w:szCs w:val="15"/>
              </w:rPr>
              <w:t xml:space="preserve"> II-III</w:t>
            </w:r>
            <w:r>
              <w:rPr>
                <w:rFonts w:hint="eastAsia" w:ascii="Times New Roman" w:hAnsi="宋体" w:cs="宋体"/>
                <w:color w:val="000000"/>
                <w:sz w:val="15"/>
                <w:szCs w:val="15"/>
              </w:rPr>
              <w:t>患者的二线用药。</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肺动脉高压</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右心导管检查或至少</w:t>
            </w:r>
            <w:r>
              <w:rPr>
                <w:rFonts w:hint="eastAsia" w:ascii="Times New Roman" w:hAnsi="Times New Roman" w:cs="宋体"/>
                <w:color w:val="000000"/>
                <w:sz w:val="15"/>
                <w:szCs w:val="15"/>
              </w:rPr>
              <w:t>2</w:t>
            </w:r>
            <w:r>
              <w:rPr>
                <w:rFonts w:hint="eastAsia" w:ascii="Times New Roman" w:hAnsi="宋体" w:cs="宋体"/>
                <w:color w:val="000000"/>
                <w:sz w:val="15"/>
                <w:szCs w:val="15"/>
              </w:rPr>
              <w:t>次超声心动图；</w:t>
            </w:r>
            <w:r>
              <w:rPr>
                <w:rFonts w:hint="eastAsia" w:ascii="Times New Roman" w:hAnsi="Times New Roman" w:cs="宋体"/>
                <w:color w:val="000000"/>
                <w:sz w:val="15"/>
                <w:szCs w:val="15"/>
              </w:rPr>
              <w:t>3.</w:t>
            </w:r>
            <w:r>
              <w:rPr>
                <w:rFonts w:hint="eastAsia" w:ascii="Times New Roman" w:hAnsi="宋体" w:cs="宋体"/>
                <w:color w:val="000000"/>
                <w:sz w:val="15"/>
                <w:szCs w:val="15"/>
              </w:rPr>
              <w:t>术后持续性或复发性慢性血栓栓塞性肺动脉高压（</w:t>
            </w:r>
            <w:r>
              <w:rPr>
                <w:rFonts w:hint="eastAsia" w:ascii="Times New Roman" w:hAnsi="Times New Roman" w:cs="宋体"/>
                <w:color w:val="000000"/>
                <w:sz w:val="15"/>
                <w:szCs w:val="15"/>
              </w:rPr>
              <w:t>CTEPH</w:t>
            </w:r>
            <w:r>
              <w:rPr>
                <w:rFonts w:hint="eastAsia" w:ascii="Times New Roman" w:hAnsi="宋体" w:cs="宋体"/>
                <w:color w:val="000000"/>
                <w:sz w:val="15"/>
                <w:szCs w:val="15"/>
              </w:rPr>
              <w:t>）或不能手术的</w:t>
            </w:r>
            <w:r>
              <w:rPr>
                <w:rFonts w:hint="eastAsia" w:ascii="Times New Roman" w:hAnsi="Times New Roman" w:cs="宋体"/>
                <w:color w:val="000000"/>
                <w:sz w:val="15"/>
                <w:szCs w:val="15"/>
              </w:rPr>
              <w:t>CTEPH</w:t>
            </w:r>
            <w:r>
              <w:rPr>
                <w:rFonts w:hint="eastAsia" w:ascii="Times New Roman" w:hAnsi="宋体" w:cs="宋体"/>
                <w:color w:val="000000"/>
                <w:sz w:val="15"/>
                <w:szCs w:val="15"/>
              </w:rPr>
              <w:t>的病史资料；</w:t>
            </w:r>
            <w:r>
              <w:rPr>
                <w:rFonts w:hint="eastAsia" w:ascii="Times New Roman" w:hAnsi="Times New Roman" w:cs="宋体"/>
                <w:color w:val="000000"/>
                <w:sz w:val="15"/>
                <w:szCs w:val="15"/>
              </w:rPr>
              <w:t>4.</w:t>
            </w:r>
            <w:r>
              <w:rPr>
                <w:rFonts w:hint="eastAsia" w:ascii="Times New Roman" w:hAnsi="宋体" w:cs="宋体"/>
                <w:color w:val="000000"/>
                <w:sz w:val="15"/>
                <w:szCs w:val="15"/>
              </w:rPr>
              <w:t>动脉性肺动脉高压需提供</w:t>
            </w:r>
            <w:r>
              <w:rPr>
                <w:rFonts w:hint="eastAsia" w:ascii="Times New Roman" w:hAnsi="Times New Roman" w:cs="宋体"/>
                <w:color w:val="000000"/>
                <w:sz w:val="15"/>
                <w:szCs w:val="15"/>
              </w:rPr>
              <w:t>3</w:t>
            </w:r>
            <w:r>
              <w:rPr>
                <w:rFonts w:hint="eastAsia" w:ascii="Times New Roman" w:hAnsi="宋体" w:cs="宋体"/>
                <w:color w:val="000000"/>
                <w:sz w:val="15"/>
                <w:szCs w:val="15"/>
              </w:rPr>
              <w:t>个月以上一线药物治疗病史，提示治疗效果不佳。</w:t>
            </w:r>
          </w:p>
        </w:tc>
      </w:tr>
      <w:tr>
        <w:tblPrEx>
          <w:tblCellMar>
            <w:top w:w="0" w:type="dxa"/>
            <w:left w:w="108" w:type="dxa"/>
            <w:bottom w:w="0" w:type="dxa"/>
            <w:right w:w="108" w:type="dxa"/>
          </w:tblCellMar>
        </w:tblPrEx>
        <w:trPr>
          <w:trHeight w:val="152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7</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马昔腾坦</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w:t>
            </w:r>
            <w:r>
              <w:rPr>
                <w:rFonts w:hint="eastAsia" w:ascii="Times New Roman" w:hAnsi="Times New Roman" w:cs="宋体"/>
                <w:color w:val="000000"/>
                <w:sz w:val="15"/>
                <w:szCs w:val="15"/>
              </w:rPr>
              <w:t>WHO</w:t>
            </w:r>
            <w:r>
              <w:rPr>
                <w:rFonts w:hint="eastAsia" w:ascii="Times New Roman" w:hAnsi="宋体" w:cs="宋体"/>
                <w:color w:val="000000"/>
                <w:sz w:val="15"/>
                <w:szCs w:val="15"/>
              </w:rPr>
              <w:t>功能分级</w:t>
            </w:r>
            <w:r>
              <w:rPr>
                <w:rFonts w:hint="eastAsia" w:ascii="Times New Roman" w:hAnsi="Times New Roman" w:cs="宋体"/>
                <w:color w:val="000000"/>
                <w:sz w:val="15"/>
                <w:szCs w:val="15"/>
              </w:rPr>
              <w:t>II</w:t>
            </w:r>
            <w:r>
              <w:rPr>
                <w:rFonts w:hint="eastAsia" w:ascii="Times New Roman" w:hAnsi="宋体" w:cs="宋体"/>
                <w:color w:val="000000"/>
                <w:sz w:val="15"/>
                <w:szCs w:val="15"/>
              </w:rPr>
              <w:t>级</w:t>
            </w:r>
            <w:r>
              <w:rPr>
                <w:rFonts w:hint="eastAsia" w:ascii="Times New Roman" w:hAnsi="Times New Roman" w:cs="宋体"/>
                <w:color w:val="000000"/>
                <w:sz w:val="15"/>
                <w:szCs w:val="15"/>
              </w:rPr>
              <w:t>-III</w:t>
            </w:r>
            <w:r>
              <w:rPr>
                <w:rFonts w:hint="eastAsia" w:ascii="Times New Roman" w:hAnsi="宋体" w:cs="宋体"/>
                <w:color w:val="000000"/>
                <w:sz w:val="15"/>
                <w:szCs w:val="15"/>
              </w:rPr>
              <w:t>级的肺动脉高压（</w:t>
            </w:r>
            <w:r>
              <w:rPr>
                <w:rFonts w:hint="eastAsia" w:ascii="Times New Roman" w:hAnsi="Times New Roman" w:cs="宋体"/>
                <w:color w:val="000000"/>
                <w:sz w:val="15"/>
                <w:szCs w:val="15"/>
              </w:rPr>
              <w:t>WHO</w:t>
            </w:r>
            <w:r>
              <w:rPr>
                <w:rFonts w:hint="eastAsia" w:ascii="Times New Roman" w:hAnsi="宋体" w:cs="宋体"/>
                <w:color w:val="000000"/>
                <w:sz w:val="15"/>
                <w:szCs w:val="15"/>
              </w:rPr>
              <w:t>第</w:t>
            </w:r>
            <w:r>
              <w:rPr>
                <w:rFonts w:hint="eastAsia" w:ascii="Times New Roman" w:hAnsi="Times New Roman" w:cs="宋体"/>
                <w:color w:val="000000"/>
                <w:sz w:val="15"/>
                <w:szCs w:val="15"/>
              </w:rPr>
              <w:t>1</w:t>
            </w:r>
            <w:r>
              <w:rPr>
                <w:rFonts w:hint="eastAsia" w:ascii="Times New Roman" w:hAnsi="宋体" w:cs="宋体"/>
                <w:color w:val="000000"/>
                <w:sz w:val="15"/>
                <w:szCs w:val="15"/>
              </w:rPr>
              <w:t>组）的患者。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肺动脉高压</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右心导管检查或至少</w:t>
            </w:r>
            <w:r>
              <w:rPr>
                <w:rFonts w:hint="eastAsia" w:ascii="Times New Roman" w:hAnsi="Times New Roman" w:cs="宋体"/>
                <w:color w:val="000000"/>
                <w:sz w:val="15"/>
                <w:szCs w:val="15"/>
              </w:rPr>
              <w:t>2</w:t>
            </w:r>
            <w:r>
              <w:rPr>
                <w:rFonts w:hint="eastAsia" w:ascii="Times New Roman" w:hAnsi="宋体" w:cs="宋体"/>
                <w:color w:val="000000"/>
                <w:sz w:val="15"/>
                <w:szCs w:val="15"/>
              </w:rPr>
              <w:t>次超声心动图。</w:t>
            </w:r>
          </w:p>
        </w:tc>
      </w:tr>
      <w:tr>
        <w:tblPrEx>
          <w:tblCellMar>
            <w:top w:w="0" w:type="dxa"/>
            <w:left w:w="108" w:type="dxa"/>
            <w:bottom w:w="0" w:type="dxa"/>
            <w:right w:w="108" w:type="dxa"/>
          </w:tblCellMar>
        </w:tblPrEx>
        <w:trPr>
          <w:trHeight w:val="1721"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8</w:t>
            </w:r>
          </w:p>
        </w:tc>
        <w:tc>
          <w:tcPr>
            <w:tcW w:w="185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沙库巴曲缬沙坦</w:t>
            </w:r>
          </w:p>
        </w:tc>
        <w:tc>
          <w:tcPr>
            <w:tcW w:w="15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限慢性心力衰竭（</w:t>
            </w:r>
            <w:r>
              <w:rPr>
                <w:rFonts w:hint="eastAsia" w:ascii="Times New Roman" w:hAnsi="Times New Roman" w:cs="宋体"/>
                <w:color w:val="000000"/>
                <w:sz w:val="15"/>
                <w:szCs w:val="15"/>
              </w:rPr>
              <w:t>NYHA II-IV</w:t>
            </w:r>
            <w:r>
              <w:rPr>
                <w:rFonts w:hint="eastAsia" w:ascii="Times New Roman" w:hAnsi="宋体" w:cs="宋体"/>
                <w:color w:val="000000"/>
                <w:sz w:val="15"/>
                <w:szCs w:val="15"/>
              </w:rPr>
              <w:t>级）患者，首次处方时应有射血分数降低的证据。</w:t>
            </w:r>
          </w:p>
        </w:tc>
        <w:tc>
          <w:tcPr>
            <w:tcW w:w="221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慢性心力衰竭（</w:t>
            </w:r>
            <w:r>
              <w:rPr>
                <w:rFonts w:hint="eastAsia" w:ascii="Times New Roman" w:hAnsi="Times New Roman" w:cs="宋体"/>
                <w:color w:val="000000"/>
                <w:sz w:val="15"/>
                <w:szCs w:val="15"/>
              </w:rPr>
              <w:t>NYHA II-IV</w:t>
            </w:r>
            <w:r>
              <w:rPr>
                <w:rFonts w:hint="eastAsia" w:ascii="Times New Roman" w:hAnsi="宋体" w:cs="宋体"/>
                <w:color w:val="000000"/>
                <w:sz w:val="15"/>
                <w:szCs w:val="15"/>
              </w:rPr>
              <w:t>级）</w:t>
            </w:r>
          </w:p>
        </w:tc>
        <w:tc>
          <w:tcPr>
            <w:tcW w:w="42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首次处方提供超声心动图报告。</w:t>
            </w:r>
          </w:p>
        </w:tc>
      </w:tr>
      <w:tr>
        <w:tblPrEx>
          <w:tblCellMar>
            <w:top w:w="0" w:type="dxa"/>
            <w:left w:w="108" w:type="dxa"/>
            <w:bottom w:w="0" w:type="dxa"/>
            <w:right w:w="108" w:type="dxa"/>
          </w:tblCellMar>
        </w:tblPrEx>
        <w:trPr>
          <w:trHeight w:val="106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9</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奥曲肽</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微球注射剂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限胃肠胰内分泌肿瘤、肢端肥大症，按说明书用药。</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肢端肥大症</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血清生长激素（</w:t>
            </w:r>
            <w:r>
              <w:rPr>
                <w:rFonts w:hint="eastAsia" w:ascii="Times New Roman" w:hAnsi="Times New Roman" w:cs="宋体"/>
                <w:color w:val="000000"/>
                <w:sz w:val="15"/>
                <w:szCs w:val="15"/>
              </w:rPr>
              <w:t>GH</w:t>
            </w:r>
            <w:r>
              <w:rPr>
                <w:rFonts w:hint="eastAsia" w:ascii="Times New Roman" w:hAnsi="宋体" w:cs="宋体"/>
                <w:color w:val="000000"/>
                <w:sz w:val="15"/>
                <w:szCs w:val="15"/>
              </w:rPr>
              <w:t>）或胰岛素样生长因子（</w:t>
            </w:r>
            <w:r>
              <w:rPr>
                <w:rFonts w:hint="eastAsia" w:ascii="Times New Roman" w:hAnsi="Times New Roman" w:cs="宋体"/>
                <w:color w:val="000000"/>
                <w:sz w:val="15"/>
                <w:szCs w:val="15"/>
              </w:rPr>
              <w:t>IGF</w:t>
            </w:r>
            <w:r>
              <w:rPr>
                <w:rFonts w:hint="eastAsia" w:ascii="Times New Roman" w:hAnsi="宋体" w:cs="宋体"/>
                <w:color w:val="000000"/>
                <w:sz w:val="15"/>
                <w:szCs w:val="15"/>
              </w:rPr>
              <w:t>）</w:t>
            </w:r>
            <w:r>
              <w:rPr>
                <w:rFonts w:hint="eastAsia" w:ascii="Times New Roman" w:hAnsi="Times New Roman" w:cs="宋体"/>
                <w:color w:val="000000"/>
                <w:sz w:val="15"/>
                <w:szCs w:val="15"/>
              </w:rPr>
              <w:t>-1</w:t>
            </w:r>
            <w:r>
              <w:rPr>
                <w:rFonts w:hint="eastAsia" w:ascii="Times New Roman" w:hAnsi="宋体" w:cs="宋体"/>
                <w:color w:val="000000"/>
                <w:sz w:val="15"/>
                <w:szCs w:val="15"/>
              </w:rPr>
              <w:t>检测报告；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肢端肥大临床表现的病历资料。</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胃、肠、胰内分泌肿瘤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影像学或内镜检查报告；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免疫组织化学标志物检测报告。</w:t>
            </w:r>
          </w:p>
        </w:tc>
      </w:tr>
      <w:tr>
        <w:tblPrEx>
          <w:tblCellMar>
            <w:top w:w="0" w:type="dxa"/>
            <w:left w:w="108" w:type="dxa"/>
            <w:bottom w:w="0" w:type="dxa"/>
            <w:right w:w="108" w:type="dxa"/>
          </w:tblCellMar>
        </w:tblPrEx>
        <w:trPr>
          <w:trHeight w:val="1002"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10</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泊沙康唑</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口服液体剂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预防移植后（干细胞及实体器官移植）及恶性肿瘤患者有重度粒细胞缺乏的侵袭性曲霉菌和念球菌感染。</w:t>
            </w:r>
            <w:r>
              <w:rPr>
                <w:rFonts w:hint="eastAsia" w:ascii="Times New Roman" w:hAnsi="Times New Roman" w:cs="宋体"/>
                <w:color w:val="000000"/>
                <w:sz w:val="15"/>
                <w:szCs w:val="15"/>
              </w:rPr>
              <w:t>2.</w:t>
            </w:r>
            <w:r>
              <w:rPr>
                <w:rFonts w:hint="eastAsia" w:ascii="Times New Roman" w:hAnsi="宋体" w:cs="宋体"/>
                <w:color w:val="000000"/>
                <w:sz w:val="15"/>
                <w:szCs w:val="15"/>
              </w:rPr>
              <w:t>伊曲康唑或氟康唑难治性口咽念珠菌病。</w:t>
            </w:r>
            <w:r>
              <w:rPr>
                <w:rFonts w:hint="eastAsia" w:ascii="Times New Roman" w:hAnsi="Times New Roman" w:cs="宋体"/>
                <w:color w:val="000000"/>
                <w:sz w:val="15"/>
                <w:szCs w:val="15"/>
              </w:rPr>
              <w:t>3.</w:t>
            </w:r>
            <w:r>
              <w:rPr>
                <w:rFonts w:hint="eastAsia" w:ascii="Times New Roman" w:hAnsi="宋体" w:cs="宋体"/>
                <w:color w:val="000000"/>
                <w:sz w:val="15"/>
                <w:szCs w:val="15"/>
              </w:rPr>
              <w:t>接合菌纲类感染。</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移植后（干细胞及实体器官移植）及恶性肿瘤患者重度粒细胞缺乏</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病情诊断证明书：移植后（干细胞及实体器官移植）或恶性肿瘤重度粒细胞缺乏；</w:t>
            </w:r>
            <w:r>
              <w:rPr>
                <w:rFonts w:hint="eastAsia" w:ascii="Times New Roman" w:hAnsi="Times New Roman" w:cs="宋体"/>
                <w:color w:val="000000"/>
                <w:sz w:val="15"/>
                <w:szCs w:val="15"/>
              </w:rPr>
              <w:t>2.</w:t>
            </w:r>
            <w:r>
              <w:rPr>
                <w:rFonts w:hint="eastAsia" w:ascii="Times New Roman" w:hAnsi="宋体" w:cs="宋体"/>
                <w:color w:val="000000"/>
                <w:sz w:val="15"/>
                <w:szCs w:val="15"/>
              </w:rPr>
              <w:t>血常规报告。</w:t>
            </w:r>
          </w:p>
        </w:tc>
      </w:tr>
      <w:tr>
        <w:tblPrEx>
          <w:tblCellMar>
            <w:top w:w="0" w:type="dxa"/>
            <w:left w:w="108" w:type="dxa"/>
            <w:bottom w:w="0" w:type="dxa"/>
            <w:right w:w="108" w:type="dxa"/>
          </w:tblCellMar>
        </w:tblPrEx>
        <w:trPr>
          <w:trHeight w:val="72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伊曲康唑或氟康唑难治性口咽念珠菌感染</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伊曲康唑或氟康唑治疗无效的病史资料；</w:t>
            </w:r>
            <w:r>
              <w:rPr>
                <w:rFonts w:hint="eastAsia" w:ascii="Times New Roman" w:hAnsi="Times New Roman" w:cs="宋体"/>
                <w:color w:val="000000"/>
                <w:sz w:val="15"/>
                <w:szCs w:val="15"/>
              </w:rPr>
              <w:t>3.</w:t>
            </w:r>
            <w:r>
              <w:rPr>
                <w:rFonts w:hint="eastAsia" w:ascii="Times New Roman" w:hAnsi="宋体" w:cs="宋体"/>
                <w:color w:val="000000"/>
                <w:sz w:val="15"/>
                <w:szCs w:val="15"/>
              </w:rPr>
              <w:t>口咽念珠菌阳性检查报告。</w:t>
            </w:r>
          </w:p>
        </w:tc>
      </w:tr>
      <w:tr>
        <w:tblPrEx>
          <w:tblCellMar>
            <w:top w:w="0" w:type="dxa"/>
            <w:left w:w="108" w:type="dxa"/>
            <w:bottom w:w="0" w:type="dxa"/>
            <w:right w:w="108" w:type="dxa"/>
          </w:tblCellMar>
        </w:tblPrEx>
        <w:trPr>
          <w:trHeight w:val="544"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接合菌纲类感染</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接合菌纲类感染阳性检查报告。</w:t>
            </w:r>
          </w:p>
        </w:tc>
      </w:tr>
      <w:tr>
        <w:tblPrEx>
          <w:tblCellMar>
            <w:top w:w="0" w:type="dxa"/>
            <w:left w:w="108" w:type="dxa"/>
            <w:bottom w:w="0" w:type="dxa"/>
            <w:right w:w="108" w:type="dxa"/>
          </w:tblCellMar>
        </w:tblPrEx>
        <w:trPr>
          <w:trHeight w:val="544"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11</w:t>
            </w:r>
          </w:p>
        </w:tc>
        <w:tc>
          <w:tcPr>
            <w:tcW w:w="185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贝达喹啉</w:t>
            </w:r>
          </w:p>
        </w:tc>
        <w:tc>
          <w:tcPr>
            <w:tcW w:w="15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限耐多药结核患者。</w:t>
            </w:r>
          </w:p>
        </w:tc>
        <w:tc>
          <w:tcPr>
            <w:tcW w:w="221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结核病</w:t>
            </w:r>
          </w:p>
        </w:tc>
        <w:tc>
          <w:tcPr>
            <w:tcW w:w="42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耐多药结核病的药物敏感性检测报告；</w:t>
            </w:r>
            <w:r>
              <w:rPr>
                <w:rFonts w:hint="eastAsia" w:ascii="Times New Roman" w:hAnsi="Times New Roman" w:cs="宋体"/>
                <w:color w:val="000000"/>
                <w:sz w:val="15"/>
                <w:szCs w:val="15"/>
              </w:rPr>
              <w:t>3.</w:t>
            </w:r>
            <w:r>
              <w:rPr>
                <w:rFonts w:hint="eastAsia" w:ascii="Times New Roman" w:hAnsi="宋体" w:cs="宋体"/>
                <w:color w:val="000000"/>
                <w:sz w:val="15"/>
                <w:szCs w:val="15"/>
              </w:rPr>
              <w:t>耐多药的病史资料。</w:t>
            </w:r>
          </w:p>
        </w:tc>
      </w:tr>
      <w:tr>
        <w:tblPrEx>
          <w:tblCellMar>
            <w:top w:w="0" w:type="dxa"/>
            <w:left w:w="108" w:type="dxa"/>
            <w:bottom w:w="0" w:type="dxa"/>
            <w:right w:w="108" w:type="dxa"/>
          </w:tblCellMar>
        </w:tblPrEx>
        <w:trPr>
          <w:trHeight w:val="544"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12</w:t>
            </w:r>
          </w:p>
        </w:tc>
        <w:tc>
          <w:tcPr>
            <w:tcW w:w="185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德拉马尼</w:t>
            </w:r>
          </w:p>
        </w:tc>
        <w:tc>
          <w:tcPr>
            <w:tcW w:w="15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限耐多药结核患者。</w:t>
            </w:r>
          </w:p>
        </w:tc>
        <w:tc>
          <w:tcPr>
            <w:tcW w:w="221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结核病</w:t>
            </w:r>
          </w:p>
        </w:tc>
        <w:tc>
          <w:tcPr>
            <w:tcW w:w="42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耐多药结核病的药物敏感性检测报告；</w:t>
            </w:r>
            <w:r>
              <w:rPr>
                <w:rFonts w:hint="eastAsia" w:ascii="Times New Roman" w:hAnsi="Times New Roman" w:cs="宋体"/>
                <w:color w:val="000000"/>
                <w:sz w:val="15"/>
                <w:szCs w:val="15"/>
              </w:rPr>
              <w:t>3.</w:t>
            </w:r>
            <w:r>
              <w:rPr>
                <w:rFonts w:hint="eastAsia" w:ascii="Times New Roman" w:hAnsi="宋体" w:cs="宋体"/>
                <w:color w:val="000000"/>
                <w:sz w:val="15"/>
                <w:szCs w:val="15"/>
              </w:rPr>
              <w:t>耐多药的病史资料。</w:t>
            </w:r>
          </w:p>
        </w:tc>
      </w:tr>
      <w:tr>
        <w:tblPrEx>
          <w:tblCellMar>
            <w:top w:w="0" w:type="dxa"/>
            <w:left w:w="108" w:type="dxa"/>
            <w:bottom w:w="0" w:type="dxa"/>
            <w:right w:w="108" w:type="dxa"/>
          </w:tblCellMar>
        </w:tblPrEx>
        <w:trPr>
          <w:trHeight w:val="917"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13</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艾尔巴韦格拉瑞韦</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限经</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基因分型检测确诊为基因</w:t>
            </w:r>
            <w:r>
              <w:rPr>
                <w:rFonts w:hint="eastAsia" w:ascii="Times New Roman" w:hAnsi="Times New Roman" w:cs="宋体"/>
                <w:color w:val="000000"/>
                <w:sz w:val="15"/>
                <w:szCs w:val="15"/>
              </w:rPr>
              <w:t>1b</w:t>
            </w:r>
            <w:r>
              <w:rPr>
                <w:rFonts w:hint="eastAsia" w:ascii="Times New Roman" w:hAnsi="宋体" w:cs="宋体"/>
                <w:color w:val="000000"/>
                <w:sz w:val="15"/>
                <w:szCs w:val="15"/>
              </w:rPr>
              <w:t>型的慢性丙型肝炎患者。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慢性丙型病毒性肝炎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血常规、肝功能、</w:t>
            </w:r>
            <w:r>
              <w:rPr>
                <w:rFonts w:hint="eastAsia" w:ascii="Times New Roman" w:hAnsi="Times New Roman" w:cs="宋体"/>
                <w:color w:val="000000"/>
                <w:sz w:val="15"/>
                <w:szCs w:val="15"/>
              </w:rPr>
              <w:t>HCV-RNA</w:t>
            </w:r>
            <w:r>
              <w:rPr>
                <w:rFonts w:hint="eastAsia" w:ascii="Times New Roman" w:hAnsi="宋体" w:cs="宋体"/>
                <w:color w:val="000000"/>
                <w:sz w:val="15"/>
                <w:szCs w:val="15"/>
              </w:rPr>
              <w:t>、</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基因分型和病史资料。</w:t>
            </w:r>
          </w:p>
        </w:tc>
      </w:tr>
      <w:tr>
        <w:tblPrEx>
          <w:tblCellMar>
            <w:top w:w="0" w:type="dxa"/>
            <w:left w:w="108" w:type="dxa"/>
            <w:bottom w:w="0" w:type="dxa"/>
            <w:right w:w="108" w:type="dxa"/>
          </w:tblCellMar>
        </w:tblPrEx>
        <w:trPr>
          <w:trHeight w:val="1002"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14</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来迪派韦索磷布韦</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限经</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基因分型检测确诊为基因</w:t>
            </w:r>
            <w:r>
              <w:rPr>
                <w:rFonts w:hint="eastAsia" w:ascii="Times New Roman" w:hAnsi="Times New Roman" w:cs="宋体"/>
                <w:color w:val="000000"/>
                <w:sz w:val="15"/>
                <w:szCs w:val="15"/>
              </w:rPr>
              <w:t>1b</w:t>
            </w:r>
            <w:r>
              <w:rPr>
                <w:rFonts w:hint="eastAsia" w:ascii="Times New Roman" w:hAnsi="宋体" w:cs="宋体"/>
                <w:color w:val="000000"/>
                <w:sz w:val="15"/>
                <w:szCs w:val="15"/>
              </w:rPr>
              <w:t>型的慢性丙型肝炎患者。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慢性丙型病毒性肝炎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血常规、肝功能、</w:t>
            </w:r>
            <w:r>
              <w:rPr>
                <w:rFonts w:hint="eastAsia" w:ascii="Times New Roman" w:hAnsi="Times New Roman" w:cs="宋体"/>
                <w:color w:val="000000"/>
                <w:sz w:val="15"/>
                <w:szCs w:val="15"/>
              </w:rPr>
              <w:t>HCV-RNA</w:t>
            </w:r>
            <w:r>
              <w:rPr>
                <w:rFonts w:hint="eastAsia" w:ascii="Times New Roman" w:hAnsi="宋体" w:cs="宋体"/>
                <w:color w:val="000000"/>
                <w:sz w:val="15"/>
                <w:szCs w:val="15"/>
              </w:rPr>
              <w:t>、</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基因分型和病史资料。</w:t>
            </w:r>
          </w:p>
        </w:tc>
      </w:tr>
      <w:tr>
        <w:tblPrEx>
          <w:tblCellMar>
            <w:top w:w="0" w:type="dxa"/>
            <w:left w:w="108" w:type="dxa"/>
            <w:bottom w:w="0" w:type="dxa"/>
            <w:right w:w="108" w:type="dxa"/>
          </w:tblCellMar>
        </w:tblPrEx>
        <w:trPr>
          <w:trHeight w:val="1002"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15</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索磷布韦维帕他韦</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限经</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基因分型检测确诊为基因</w:t>
            </w:r>
            <w:r>
              <w:rPr>
                <w:rFonts w:hint="eastAsia" w:ascii="Times New Roman" w:hAnsi="Times New Roman" w:cs="宋体"/>
                <w:color w:val="000000"/>
                <w:sz w:val="15"/>
                <w:szCs w:val="15"/>
              </w:rPr>
              <w:t>1b</w:t>
            </w:r>
            <w:r>
              <w:rPr>
                <w:rFonts w:hint="eastAsia" w:ascii="Times New Roman" w:hAnsi="宋体" w:cs="宋体"/>
                <w:color w:val="000000"/>
                <w:sz w:val="15"/>
                <w:szCs w:val="15"/>
              </w:rPr>
              <w:t>型以外的慢性丙型肝炎患者。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慢性丙型病毒性肝炎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血常规、肝功能、</w:t>
            </w:r>
            <w:r>
              <w:rPr>
                <w:rFonts w:hint="eastAsia" w:ascii="Times New Roman" w:hAnsi="Times New Roman" w:cs="宋体"/>
                <w:color w:val="000000"/>
                <w:sz w:val="15"/>
                <w:szCs w:val="15"/>
              </w:rPr>
              <w:t>HCV-RNA</w:t>
            </w:r>
            <w:r>
              <w:rPr>
                <w:rFonts w:hint="eastAsia" w:ascii="Times New Roman" w:hAnsi="宋体" w:cs="宋体"/>
                <w:color w:val="000000"/>
                <w:sz w:val="15"/>
                <w:szCs w:val="15"/>
              </w:rPr>
              <w:t>、</w:t>
            </w:r>
            <w:r>
              <w:rPr>
                <w:rFonts w:hint="eastAsia" w:ascii="Times New Roman" w:hAnsi="Times New Roman" w:cs="宋体"/>
                <w:color w:val="000000"/>
                <w:sz w:val="15"/>
                <w:szCs w:val="15"/>
              </w:rPr>
              <w:t>HCV</w:t>
            </w:r>
            <w:r>
              <w:rPr>
                <w:rFonts w:hint="eastAsia" w:ascii="Times New Roman" w:hAnsi="宋体" w:cs="宋体"/>
                <w:color w:val="000000"/>
                <w:sz w:val="15"/>
                <w:szCs w:val="15"/>
              </w:rPr>
              <w:t>基因分型和病史资料。</w:t>
            </w:r>
          </w:p>
        </w:tc>
      </w:tr>
      <w:tr>
        <w:tblPrEx>
          <w:tblCellMar>
            <w:top w:w="0" w:type="dxa"/>
            <w:left w:w="108" w:type="dxa"/>
            <w:bottom w:w="0" w:type="dxa"/>
            <w:right w:w="108" w:type="dxa"/>
          </w:tblCellMar>
        </w:tblPrEx>
        <w:trPr>
          <w:trHeight w:val="237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16</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艾考恩丙替</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限艾滋病病毒感染。</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艾滋病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 xml:space="preserve">2.HIV </w:t>
            </w:r>
            <w:r>
              <w:rPr>
                <w:rFonts w:hint="eastAsia" w:ascii="Times New Roman" w:hAnsi="宋体" w:cs="宋体"/>
                <w:color w:val="000000"/>
                <w:sz w:val="15"/>
                <w:szCs w:val="15"/>
              </w:rPr>
              <w:t>抗体或抗原检测报告。</w:t>
            </w:r>
          </w:p>
        </w:tc>
      </w:tr>
      <w:tr>
        <w:tblPrEx>
          <w:tblCellMar>
            <w:top w:w="0" w:type="dxa"/>
            <w:left w:w="108" w:type="dxa"/>
            <w:bottom w:w="0" w:type="dxa"/>
            <w:right w:w="108" w:type="dxa"/>
          </w:tblCellMar>
        </w:tblPrEx>
        <w:trPr>
          <w:trHeight w:val="2000"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17</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雷替曲塞</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限氟尿嘧啶类药物不耐受的晚期结直肠癌患者。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结直肠癌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w:t>
            </w:r>
            <w:r>
              <w:rPr>
                <w:rFonts w:hint="eastAsia" w:ascii="Times New Roman" w:hAnsi="宋体" w:cs="宋体"/>
                <w:color w:val="000000"/>
                <w:sz w:val="15"/>
                <w:szCs w:val="15"/>
              </w:rPr>
              <w:t>氟脲嘧啶不能耐受病史资料。</w:t>
            </w:r>
          </w:p>
        </w:tc>
      </w:tr>
      <w:tr>
        <w:tblPrEx>
          <w:tblCellMar>
            <w:top w:w="0" w:type="dxa"/>
            <w:left w:w="108" w:type="dxa"/>
            <w:bottom w:w="0" w:type="dxa"/>
            <w:right w:w="108" w:type="dxa"/>
          </w:tblCellMar>
        </w:tblPrEx>
        <w:trPr>
          <w:trHeight w:val="805"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18</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阿扎胞苷</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成年患者中</w:t>
            </w:r>
            <w:r>
              <w:rPr>
                <w:rFonts w:hint="eastAsia" w:ascii="Times New Roman" w:hAnsi="Times New Roman" w:cs="宋体"/>
                <w:color w:val="000000"/>
                <w:sz w:val="15"/>
                <w:szCs w:val="15"/>
              </w:rPr>
              <w:t>1.</w:t>
            </w:r>
            <w:r>
              <w:rPr>
                <w:rFonts w:hint="eastAsia" w:ascii="Times New Roman" w:hAnsi="宋体" w:cs="宋体"/>
                <w:color w:val="000000"/>
                <w:sz w:val="15"/>
                <w:szCs w:val="15"/>
              </w:rPr>
              <w:t>国际预后评分系统（</w:t>
            </w:r>
            <w:r>
              <w:rPr>
                <w:rFonts w:hint="eastAsia" w:ascii="Times New Roman" w:hAnsi="Times New Roman" w:cs="宋体"/>
                <w:color w:val="000000"/>
                <w:sz w:val="15"/>
                <w:szCs w:val="15"/>
              </w:rPr>
              <w:t>IPSS</w:t>
            </w:r>
            <w:r>
              <w:rPr>
                <w:rFonts w:hint="eastAsia" w:ascii="Times New Roman" w:hAnsi="宋体" w:cs="宋体"/>
                <w:color w:val="000000"/>
                <w:sz w:val="15"/>
                <w:szCs w:val="15"/>
              </w:rPr>
              <w:t>）中的中危</w:t>
            </w:r>
            <w:r>
              <w:rPr>
                <w:rFonts w:hint="eastAsia" w:ascii="Times New Roman" w:hAnsi="Times New Roman" w:cs="宋体"/>
                <w:color w:val="000000"/>
                <w:sz w:val="15"/>
                <w:szCs w:val="15"/>
              </w:rPr>
              <w:t>-2</w:t>
            </w:r>
            <w:r>
              <w:rPr>
                <w:rFonts w:hint="eastAsia" w:ascii="Times New Roman" w:hAnsi="宋体" w:cs="宋体"/>
                <w:color w:val="000000"/>
                <w:sz w:val="15"/>
                <w:szCs w:val="15"/>
              </w:rPr>
              <w:t>及高危骨髓增生异常综合征（</w:t>
            </w:r>
            <w:r>
              <w:rPr>
                <w:rFonts w:hint="eastAsia" w:ascii="Times New Roman" w:hAnsi="Times New Roman" w:cs="宋体"/>
                <w:color w:val="000000"/>
                <w:sz w:val="15"/>
                <w:szCs w:val="15"/>
              </w:rPr>
              <w:t>MDS)</w:t>
            </w:r>
            <w:r>
              <w:rPr>
                <w:rFonts w:hint="eastAsia" w:ascii="Times New Roman" w:hAnsi="宋体" w:cs="宋体"/>
                <w:color w:val="000000"/>
                <w:sz w:val="15"/>
                <w:szCs w:val="15"/>
              </w:rPr>
              <w:t>；</w:t>
            </w:r>
            <w:r>
              <w:rPr>
                <w:rFonts w:hint="eastAsia" w:ascii="Times New Roman" w:hAnsi="Times New Roman" w:cs="宋体"/>
                <w:color w:val="000000"/>
                <w:sz w:val="15"/>
                <w:szCs w:val="15"/>
              </w:rPr>
              <w:t>2.</w:t>
            </w:r>
            <w:r>
              <w:rPr>
                <w:rFonts w:hint="eastAsia" w:ascii="Times New Roman" w:hAnsi="宋体" w:cs="宋体"/>
                <w:color w:val="000000"/>
                <w:sz w:val="15"/>
                <w:szCs w:val="15"/>
              </w:rPr>
              <w:t>慢性粒</w:t>
            </w:r>
            <w:r>
              <w:rPr>
                <w:rFonts w:hint="eastAsia" w:ascii="Times New Roman" w:hAnsi="Times New Roman" w:cs="宋体"/>
                <w:color w:val="000000"/>
                <w:sz w:val="15"/>
                <w:szCs w:val="15"/>
              </w:rPr>
              <w:t>-</w:t>
            </w:r>
            <w:r>
              <w:rPr>
                <w:rFonts w:hint="eastAsia" w:ascii="Times New Roman" w:hAnsi="宋体" w:cs="宋体"/>
                <w:color w:val="000000"/>
                <w:sz w:val="15"/>
                <w:szCs w:val="15"/>
              </w:rPr>
              <w:t>单核细胞白血病（</w:t>
            </w:r>
            <w:r>
              <w:rPr>
                <w:rFonts w:hint="eastAsia" w:ascii="Times New Roman" w:hAnsi="Times New Roman" w:cs="宋体"/>
                <w:color w:val="000000"/>
                <w:sz w:val="15"/>
                <w:szCs w:val="15"/>
              </w:rPr>
              <w:t>CMML)</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按照世界卫生组织（</w:t>
            </w:r>
            <w:r>
              <w:rPr>
                <w:rFonts w:hint="eastAsia" w:ascii="Times New Roman" w:hAnsi="Times New Roman" w:cs="宋体"/>
                <w:color w:val="000000"/>
                <w:sz w:val="15"/>
                <w:szCs w:val="15"/>
              </w:rPr>
              <w:t>WHO</w:t>
            </w:r>
            <w:r>
              <w:rPr>
                <w:rFonts w:hint="eastAsia" w:ascii="Times New Roman" w:hAnsi="宋体" w:cs="宋体"/>
                <w:color w:val="000000"/>
                <w:sz w:val="15"/>
                <w:szCs w:val="15"/>
              </w:rPr>
              <w:t>）分类的急性髓系白血病（</w:t>
            </w:r>
            <w:r>
              <w:rPr>
                <w:rFonts w:hint="eastAsia" w:ascii="Times New Roman" w:hAnsi="Times New Roman" w:cs="宋体"/>
                <w:color w:val="000000"/>
                <w:sz w:val="15"/>
                <w:szCs w:val="15"/>
              </w:rPr>
              <w:t>AML</w:t>
            </w:r>
            <w:r>
              <w:rPr>
                <w:rFonts w:hint="eastAsia" w:ascii="Times New Roman" w:hAnsi="宋体" w:cs="宋体"/>
                <w:color w:val="000000"/>
                <w:sz w:val="15"/>
                <w:szCs w:val="15"/>
              </w:rPr>
              <w:t>）、骨髓原始细胞为</w:t>
            </w:r>
            <w:r>
              <w:rPr>
                <w:rFonts w:hint="eastAsia" w:ascii="Times New Roman" w:hAnsi="Times New Roman" w:cs="宋体"/>
                <w:color w:val="000000"/>
                <w:sz w:val="15"/>
                <w:szCs w:val="15"/>
              </w:rPr>
              <w:t>20-30%</w:t>
            </w:r>
            <w:r>
              <w:rPr>
                <w:rFonts w:hint="eastAsia" w:ascii="Times New Roman" w:hAnsi="宋体" w:cs="宋体"/>
                <w:color w:val="000000"/>
                <w:sz w:val="15"/>
                <w:szCs w:val="15"/>
              </w:rPr>
              <w:t>伴多系发育异常的治疗。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骨髓增生异常综合征</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血常规、骨髓检查报告。</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慢性粒</w:t>
            </w:r>
            <w:r>
              <w:rPr>
                <w:rFonts w:hint="eastAsia" w:ascii="Times New Roman" w:hAnsi="Times New Roman" w:cs="宋体"/>
                <w:color w:val="000000"/>
                <w:sz w:val="15"/>
                <w:szCs w:val="15"/>
              </w:rPr>
              <w:t>-</w:t>
            </w:r>
            <w:r>
              <w:rPr>
                <w:rFonts w:hint="eastAsia" w:ascii="Times New Roman" w:hAnsi="宋体" w:cs="宋体"/>
                <w:color w:val="000000"/>
                <w:sz w:val="15"/>
                <w:szCs w:val="15"/>
              </w:rPr>
              <w:t>单核细胞白血病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血液及骨髓检查报告。</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急性髓系（性）白血病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血液及骨髓检查报告。</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19</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西妥昔单抗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限</w:t>
            </w:r>
            <w:r>
              <w:rPr>
                <w:rFonts w:hint="eastAsia" w:ascii="Times New Roman" w:hAnsi="Times New Roman" w:cs="宋体"/>
                <w:color w:val="000000"/>
                <w:sz w:val="15"/>
                <w:szCs w:val="15"/>
              </w:rPr>
              <w:t>RAS</w:t>
            </w:r>
            <w:r>
              <w:rPr>
                <w:rFonts w:hint="eastAsia" w:ascii="Times New Roman" w:hAnsi="宋体" w:cs="宋体"/>
                <w:color w:val="000000"/>
                <w:sz w:val="15"/>
                <w:szCs w:val="15"/>
              </w:rPr>
              <w:t>基因野生型的转移性结直肠癌。</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转移性结直肠癌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4.RAS</w:t>
            </w:r>
            <w:r>
              <w:rPr>
                <w:rFonts w:hint="eastAsia" w:ascii="Times New Roman" w:hAnsi="宋体" w:cs="宋体"/>
                <w:color w:val="000000"/>
                <w:sz w:val="15"/>
                <w:szCs w:val="15"/>
              </w:rPr>
              <w:t>基因检测报告。</w:t>
            </w:r>
          </w:p>
        </w:tc>
      </w:tr>
      <w:tr>
        <w:tblPrEx>
          <w:tblCellMar>
            <w:top w:w="0" w:type="dxa"/>
            <w:left w:w="108" w:type="dxa"/>
            <w:bottom w:w="0" w:type="dxa"/>
            <w:right w:w="108" w:type="dxa"/>
          </w:tblCellMar>
        </w:tblPrEx>
        <w:trPr>
          <w:trHeight w:val="544"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20</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贝伐珠单抗</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限晚期转移性结直肠癌或晚期非鳞非小细胞肺癌。</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转移性结直肠癌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p>
        </w:tc>
      </w:tr>
      <w:tr>
        <w:tblPrEx>
          <w:tblCellMar>
            <w:top w:w="0" w:type="dxa"/>
            <w:left w:w="108" w:type="dxa"/>
            <w:bottom w:w="0" w:type="dxa"/>
            <w:right w:w="108" w:type="dxa"/>
          </w:tblCellMar>
        </w:tblPrEx>
        <w:trPr>
          <w:trHeight w:val="544"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非鳞非小细胞肺癌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21</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尼妥珠单抗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限与放疗联合治疗表皮生长因子受体</w:t>
            </w:r>
            <w:r>
              <w:rPr>
                <w:rFonts w:hint="eastAsia" w:ascii="Times New Roman" w:hAnsi="Times New Roman" w:cs="宋体"/>
                <w:color w:val="000000"/>
                <w:sz w:val="15"/>
                <w:szCs w:val="15"/>
              </w:rPr>
              <w:t>(EGFR)</w:t>
            </w:r>
            <w:r>
              <w:rPr>
                <w:rFonts w:hint="eastAsia" w:ascii="Times New Roman" w:hAnsi="宋体" w:cs="宋体"/>
                <w:color w:val="000000"/>
                <w:sz w:val="15"/>
                <w:szCs w:val="15"/>
              </w:rPr>
              <w:t>表达阳性的Ⅲ</w:t>
            </w:r>
            <w:r>
              <w:rPr>
                <w:rFonts w:hint="eastAsia" w:ascii="Times New Roman" w:hAnsi="Times New Roman" w:cs="宋体"/>
                <w:color w:val="000000"/>
                <w:sz w:val="15"/>
                <w:szCs w:val="15"/>
              </w:rPr>
              <w:t>/</w:t>
            </w:r>
            <w:r>
              <w:rPr>
                <w:rFonts w:hint="eastAsia" w:ascii="Times New Roman" w:hAnsi="宋体" w:cs="宋体"/>
                <w:color w:val="000000"/>
                <w:sz w:val="15"/>
                <w:szCs w:val="15"/>
              </w:rPr>
              <w:t>Ⅳ期鼻咽癌。</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鼻咽癌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3.EGFR</w:t>
            </w:r>
            <w:r>
              <w:rPr>
                <w:rFonts w:hint="eastAsia" w:ascii="Times New Roman" w:hAnsi="宋体" w:cs="宋体"/>
                <w:color w:val="000000"/>
                <w:sz w:val="15"/>
                <w:szCs w:val="15"/>
              </w:rPr>
              <w:t>阳性表达报告；</w:t>
            </w:r>
            <w:r>
              <w:rPr>
                <w:rFonts w:hint="eastAsia" w:ascii="Times New Roman" w:hAnsi="Times New Roman" w:cs="宋体"/>
                <w:color w:val="000000"/>
                <w:sz w:val="15"/>
                <w:szCs w:val="15"/>
              </w:rPr>
              <w:t>4.</w:t>
            </w:r>
            <w:r>
              <w:rPr>
                <w:rFonts w:hint="eastAsia" w:ascii="Times New Roman" w:hAnsi="宋体" w:cs="宋体"/>
                <w:color w:val="000000"/>
                <w:sz w:val="15"/>
                <w:szCs w:val="15"/>
              </w:rPr>
              <w:t>放疗联合治疗方案。</w:t>
            </w:r>
          </w:p>
        </w:tc>
      </w:tr>
      <w:tr>
        <w:tblPrEx>
          <w:tblCellMar>
            <w:top w:w="0" w:type="dxa"/>
            <w:left w:w="108" w:type="dxa"/>
            <w:bottom w:w="0" w:type="dxa"/>
            <w:right w:w="108" w:type="dxa"/>
          </w:tblCellMar>
        </w:tblPrEx>
        <w:trPr>
          <w:trHeight w:val="200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22</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曲妥珠单抗</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1.HER2</w:t>
            </w:r>
            <w:r>
              <w:rPr>
                <w:rFonts w:hint="eastAsia" w:ascii="Times New Roman" w:hAnsi="宋体" w:cs="宋体"/>
                <w:color w:val="000000"/>
                <w:sz w:val="15"/>
                <w:szCs w:val="15"/>
              </w:rPr>
              <w:t>阳性的转移性乳腺癌；</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2.HER2</w:t>
            </w:r>
            <w:r>
              <w:rPr>
                <w:rFonts w:hint="eastAsia" w:ascii="Times New Roman" w:hAnsi="宋体" w:cs="宋体"/>
                <w:color w:val="000000"/>
                <w:sz w:val="15"/>
                <w:szCs w:val="15"/>
              </w:rPr>
              <w:t>阳性的早期乳腺癌患者的辅助和新辅助治疗，支付不超过</w:t>
            </w:r>
            <w:r>
              <w:rPr>
                <w:rFonts w:hint="eastAsia" w:ascii="Times New Roman" w:hAnsi="Times New Roman" w:cs="宋体"/>
                <w:color w:val="000000"/>
                <w:sz w:val="15"/>
                <w:szCs w:val="15"/>
              </w:rPr>
              <w:t>12</w:t>
            </w:r>
            <w:r>
              <w:rPr>
                <w:rFonts w:hint="eastAsia" w:ascii="Times New Roman" w:hAnsi="宋体" w:cs="宋体"/>
                <w:color w:val="000000"/>
                <w:sz w:val="15"/>
                <w:szCs w:val="15"/>
              </w:rPr>
              <w:t>个月；</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3.HER2</w:t>
            </w:r>
            <w:r>
              <w:rPr>
                <w:rFonts w:hint="eastAsia" w:ascii="Times New Roman" w:hAnsi="宋体" w:cs="宋体"/>
                <w:color w:val="000000"/>
                <w:sz w:val="15"/>
                <w:szCs w:val="15"/>
              </w:rPr>
              <w:t>阳性的转移性胃癌患者。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乳腺癌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b/>
                <w:bCs/>
                <w:color w:val="000000"/>
                <w:sz w:val="15"/>
                <w:szCs w:val="15"/>
              </w:rPr>
            </w:pPr>
            <w:r>
              <w:rPr>
                <w:rFonts w:hint="eastAsia" w:ascii="Times New Roman" w:hAnsi="宋体" w:cs="宋体"/>
                <w:b/>
                <w:bCs/>
                <w:color w:val="000000"/>
                <w:sz w:val="15"/>
                <w:szCs w:val="15"/>
              </w:rPr>
              <w:t>转移性乳腺癌：</w:t>
            </w: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病理学检查或影像学检查报告；</w:t>
            </w:r>
            <w:r>
              <w:rPr>
                <w:rFonts w:hint="eastAsia" w:ascii="Times New Roman" w:hAnsi="Times New Roman" w:cs="宋体"/>
                <w:color w:val="000000"/>
                <w:sz w:val="15"/>
                <w:szCs w:val="15"/>
              </w:rPr>
              <w:t>3.HER2</w:t>
            </w:r>
            <w:r>
              <w:rPr>
                <w:rFonts w:hint="eastAsia" w:ascii="Times New Roman" w:hAnsi="宋体" w:cs="宋体"/>
                <w:color w:val="000000"/>
                <w:sz w:val="15"/>
                <w:szCs w:val="15"/>
              </w:rPr>
              <w:t>阳性表达。</w:t>
            </w:r>
            <w:r>
              <w:rPr>
                <w:rFonts w:hint="eastAsia" w:ascii="Times New Roman" w:hAnsi="宋体" w:cs="宋体"/>
                <w:b/>
                <w:bCs/>
                <w:color w:val="000000"/>
                <w:sz w:val="15"/>
                <w:szCs w:val="15"/>
              </w:rPr>
              <w:t>早期乳腺癌：</w:t>
            </w: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3.HER2</w:t>
            </w:r>
            <w:r>
              <w:rPr>
                <w:rFonts w:hint="eastAsia" w:ascii="Times New Roman" w:hAnsi="宋体" w:cs="宋体"/>
                <w:color w:val="000000"/>
                <w:sz w:val="15"/>
                <w:szCs w:val="15"/>
              </w:rPr>
              <w:t>阳性表达。</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胃癌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3.HER2</w:t>
            </w:r>
            <w:r>
              <w:rPr>
                <w:rFonts w:hint="eastAsia" w:ascii="Times New Roman" w:hAnsi="宋体" w:cs="宋体"/>
                <w:color w:val="000000"/>
                <w:sz w:val="15"/>
                <w:szCs w:val="15"/>
              </w:rPr>
              <w:t>阳性表达；</w:t>
            </w:r>
            <w:r>
              <w:rPr>
                <w:rFonts w:hint="eastAsia" w:ascii="Times New Roman" w:hAnsi="Times New Roman" w:cs="宋体"/>
                <w:color w:val="000000"/>
                <w:sz w:val="15"/>
                <w:szCs w:val="15"/>
              </w:rPr>
              <w:t>4.</w:t>
            </w:r>
            <w:r>
              <w:rPr>
                <w:rFonts w:hint="eastAsia" w:ascii="Times New Roman" w:hAnsi="宋体" w:cs="宋体"/>
                <w:color w:val="000000"/>
                <w:sz w:val="15"/>
                <w:szCs w:val="15"/>
              </w:rPr>
              <w:t>证明为转移性胃癌的影像学或病理学资料。</w:t>
            </w:r>
          </w:p>
        </w:tc>
      </w:tr>
      <w:tr>
        <w:tblPrEx>
          <w:tblCellMar>
            <w:top w:w="0" w:type="dxa"/>
            <w:left w:w="108" w:type="dxa"/>
            <w:bottom w:w="0" w:type="dxa"/>
            <w:right w:w="108" w:type="dxa"/>
          </w:tblCellMar>
        </w:tblPrEx>
        <w:trPr>
          <w:trHeight w:val="1590"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23</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帕妥珠单抗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限以下情况方可支付，且支付不超过</w:t>
            </w:r>
            <w:r>
              <w:rPr>
                <w:rFonts w:hint="eastAsia" w:ascii="Times New Roman" w:hAnsi="Times New Roman" w:cs="宋体"/>
                <w:color w:val="000000"/>
                <w:sz w:val="15"/>
                <w:szCs w:val="15"/>
              </w:rPr>
              <w:t>12</w:t>
            </w:r>
            <w:r>
              <w:rPr>
                <w:rFonts w:hint="eastAsia" w:ascii="Times New Roman" w:hAnsi="宋体" w:cs="宋体"/>
                <w:color w:val="000000"/>
                <w:sz w:val="15"/>
                <w:szCs w:val="15"/>
              </w:rPr>
              <w:t>个月：</w:t>
            </w:r>
            <w:r>
              <w:rPr>
                <w:rFonts w:hint="eastAsia" w:ascii="Times New Roman" w:hAnsi="Times New Roman" w:cs="宋体"/>
                <w:color w:val="000000"/>
                <w:sz w:val="15"/>
                <w:szCs w:val="15"/>
              </w:rPr>
              <w:t xml:space="preserve"> 1.HER2</w:t>
            </w:r>
            <w:r>
              <w:rPr>
                <w:rFonts w:hint="eastAsia" w:ascii="Times New Roman" w:hAnsi="宋体" w:cs="宋体"/>
                <w:color w:val="000000"/>
                <w:sz w:val="15"/>
                <w:szCs w:val="15"/>
              </w:rPr>
              <w:t>阳性的局部晚期、炎性或早期乳腺癌患者的新辅助治疗。</w:t>
            </w:r>
            <w:r>
              <w:rPr>
                <w:rFonts w:hint="eastAsia" w:ascii="Times New Roman" w:hAnsi="Times New Roman" w:cs="宋体"/>
                <w:color w:val="000000"/>
                <w:sz w:val="15"/>
                <w:szCs w:val="15"/>
              </w:rPr>
              <w:t>2.</w:t>
            </w:r>
            <w:r>
              <w:rPr>
                <w:rFonts w:hint="eastAsia" w:ascii="Times New Roman" w:hAnsi="宋体" w:cs="宋体"/>
                <w:color w:val="000000"/>
                <w:sz w:val="15"/>
                <w:szCs w:val="15"/>
              </w:rPr>
              <w:t>具有高复发风险</w:t>
            </w:r>
            <w:r>
              <w:rPr>
                <w:rFonts w:hint="eastAsia" w:ascii="Times New Roman" w:hAnsi="Times New Roman" w:cs="宋体"/>
                <w:color w:val="000000"/>
                <w:sz w:val="15"/>
                <w:szCs w:val="15"/>
              </w:rPr>
              <w:t>HER2</w:t>
            </w:r>
            <w:r>
              <w:rPr>
                <w:rFonts w:hint="eastAsia" w:ascii="Times New Roman" w:hAnsi="宋体" w:cs="宋体"/>
                <w:color w:val="000000"/>
                <w:sz w:val="15"/>
                <w:szCs w:val="15"/>
              </w:rPr>
              <w:t>阳性早期乳腺癌患者的辅助治疗。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乳腺癌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3.HER2</w:t>
            </w:r>
            <w:r>
              <w:rPr>
                <w:rFonts w:hint="eastAsia" w:ascii="Times New Roman" w:hAnsi="宋体" w:cs="宋体"/>
                <w:color w:val="000000"/>
                <w:sz w:val="15"/>
                <w:szCs w:val="15"/>
              </w:rPr>
              <w:t>阳性表达；</w:t>
            </w:r>
            <w:r>
              <w:rPr>
                <w:rFonts w:hint="eastAsia" w:ascii="Times New Roman" w:hAnsi="Times New Roman" w:cs="宋体"/>
                <w:color w:val="000000"/>
                <w:sz w:val="15"/>
                <w:szCs w:val="15"/>
              </w:rPr>
              <w:t>4.</w:t>
            </w:r>
            <w:r>
              <w:rPr>
                <w:rFonts w:hint="eastAsia" w:ascii="Times New Roman" w:hAnsi="宋体" w:cs="宋体"/>
                <w:color w:val="000000"/>
                <w:sz w:val="15"/>
                <w:szCs w:val="15"/>
              </w:rPr>
              <w:t>新辅助治疗后须有局部晚期、炎性或早期的影像学检查或病历资料；辅助治疗须具有高复发风险早期病历资料。</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24</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信迪利单抗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限至少经过二线系统化疗的复发或难治性经典型霍奇金淋巴瘤的患者。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经典型霍奇金淋巴瘤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 xml:space="preserve">3. </w:t>
            </w:r>
            <w:r>
              <w:rPr>
                <w:rFonts w:hint="eastAsia" w:ascii="Times New Roman" w:hAnsi="宋体" w:cs="宋体"/>
                <w:color w:val="000000"/>
                <w:sz w:val="15"/>
                <w:szCs w:val="15"/>
              </w:rPr>
              <w:t>既往接受过二线系统化疗、复发或难治的病史资料。</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25</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厄洛替尼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限表皮生长因子受体（</w:t>
            </w:r>
            <w:r>
              <w:rPr>
                <w:rFonts w:hint="eastAsia" w:ascii="Times New Roman" w:hAnsi="Times New Roman" w:cs="宋体"/>
                <w:color w:val="000000"/>
                <w:sz w:val="15"/>
                <w:szCs w:val="15"/>
              </w:rPr>
              <w:t>EGFR</w:t>
            </w:r>
            <w:r>
              <w:rPr>
                <w:rFonts w:hint="eastAsia" w:ascii="Times New Roman" w:hAnsi="宋体" w:cs="宋体"/>
                <w:color w:val="000000"/>
                <w:sz w:val="15"/>
                <w:szCs w:val="15"/>
              </w:rPr>
              <w:t>）基因敏感突变的晚期非小细胞肺癌患者。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3.EGFR</w:t>
            </w:r>
            <w:r>
              <w:rPr>
                <w:rFonts w:hint="eastAsia" w:ascii="Times New Roman" w:hAnsi="宋体" w:cs="宋体"/>
                <w:color w:val="000000"/>
                <w:sz w:val="15"/>
                <w:szCs w:val="15"/>
              </w:rPr>
              <w:t>基因检测敏感突变。</w:t>
            </w:r>
          </w:p>
        </w:tc>
      </w:tr>
      <w:tr>
        <w:tblPrEx>
          <w:tblCellMar>
            <w:top w:w="0" w:type="dxa"/>
            <w:left w:w="108" w:type="dxa"/>
            <w:bottom w:w="0" w:type="dxa"/>
            <w:right w:w="108" w:type="dxa"/>
          </w:tblCellMar>
        </w:tblPrEx>
        <w:trPr>
          <w:trHeight w:val="805"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26</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阿法替尼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具有</w:t>
            </w:r>
            <w:r>
              <w:rPr>
                <w:rFonts w:hint="eastAsia" w:ascii="Times New Roman" w:hAnsi="Times New Roman" w:cs="宋体"/>
                <w:color w:val="000000"/>
                <w:sz w:val="15"/>
                <w:szCs w:val="15"/>
              </w:rPr>
              <w:t>EGFR</w:t>
            </w:r>
            <w:r>
              <w:rPr>
                <w:rFonts w:hint="eastAsia" w:ascii="Times New Roman" w:hAnsi="宋体" w:cs="宋体"/>
                <w:color w:val="000000"/>
                <w:sz w:val="15"/>
                <w:szCs w:val="15"/>
              </w:rPr>
              <w:t>基因敏感突变的局部晚期或转移性非小细胞肺癌，既往未接受过</w:t>
            </w:r>
            <w:r>
              <w:rPr>
                <w:rFonts w:hint="eastAsia" w:ascii="Times New Roman" w:hAnsi="Times New Roman" w:cs="宋体"/>
                <w:color w:val="000000"/>
                <w:sz w:val="15"/>
                <w:szCs w:val="15"/>
              </w:rPr>
              <w:t>EGFR-TKI</w:t>
            </w:r>
            <w:r>
              <w:rPr>
                <w:rFonts w:hint="eastAsia" w:ascii="Times New Roman" w:hAnsi="宋体" w:cs="宋体"/>
                <w:color w:val="000000"/>
                <w:sz w:val="15"/>
                <w:szCs w:val="15"/>
              </w:rPr>
              <w:t>治疗。</w:t>
            </w:r>
            <w:r>
              <w:rPr>
                <w:rFonts w:hint="eastAsia" w:ascii="Times New Roman" w:hAnsi="Times New Roman" w:cs="宋体"/>
                <w:color w:val="000000"/>
                <w:sz w:val="15"/>
                <w:szCs w:val="15"/>
              </w:rPr>
              <w:t>2.</w:t>
            </w:r>
            <w:r>
              <w:rPr>
                <w:rFonts w:hint="eastAsia" w:ascii="Times New Roman" w:hAnsi="宋体" w:cs="宋体"/>
                <w:color w:val="000000"/>
                <w:sz w:val="15"/>
                <w:szCs w:val="15"/>
              </w:rPr>
              <w:t>含铂化疗期间或化疗后疾病进展的局部晚期或转移性鳞状组织学类型的非小细胞肺癌。</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3.EGFR</w:t>
            </w:r>
            <w:r>
              <w:rPr>
                <w:rFonts w:hint="eastAsia" w:ascii="Times New Roman" w:hAnsi="宋体" w:cs="宋体"/>
                <w:color w:val="000000"/>
                <w:sz w:val="15"/>
                <w:szCs w:val="15"/>
              </w:rPr>
              <w:t>基因检测敏感突变。</w:t>
            </w:r>
          </w:p>
        </w:tc>
      </w:tr>
      <w:tr>
        <w:tblPrEx>
          <w:tblCellMar>
            <w:top w:w="0" w:type="dxa"/>
            <w:left w:w="108" w:type="dxa"/>
            <w:bottom w:w="0" w:type="dxa"/>
            <w:right w:w="108" w:type="dxa"/>
          </w:tblCellMar>
        </w:tblPrEx>
        <w:trPr>
          <w:trHeight w:val="1056"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肺鳞癌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含铂化疗期间或化疗后疾病进展的病史资料。</w:t>
            </w:r>
          </w:p>
        </w:tc>
      </w:tr>
      <w:tr>
        <w:tblPrEx>
          <w:tblCellMar>
            <w:top w:w="0" w:type="dxa"/>
            <w:left w:w="108" w:type="dxa"/>
            <w:bottom w:w="0" w:type="dxa"/>
            <w:right w:w="108" w:type="dxa"/>
          </w:tblCellMar>
        </w:tblPrEx>
        <w:trPr>
          <w:trHeight w:val="1851"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27</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奥希替尼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限既往因表皮生长因子受体（</w:t>
            </w:r>
            <w:r>
              <w:rPr>
                <w:rFonts w:hint="eastAsia" w:ascii="Times New Roman" w:hAnsi="Times New Roman" w:cs="宋体"/>
                <w:color w:val="000000"/>
                <w:sz w:val="15"/>
                <w:szCs w:val="15"/>
              </w:rPr>
              <w:t>EGFR</w:t>
            </w:r>
            <w:r>
              <w:rPr>
                <w:rFonts w:hint="eastAsia" w:ascii="Times New Roman" w:hAnsi="宋体" w:cs="宋体"/>
                <w:color w:val="000000"/>
                <w:sz w:val="15"/>
                <w:szCs w:val="15"/>
              </w:rPr>
              <w:t>）酪氨酸激酶抑制剂（</w:t>
            </w:r>
            <w:r>
              <w:rPr>
                <w:rFonts w:hint="eastAsia" w:ascii="Times New Roman" w:hAnsi="Times New Roman" w:cs="宋体"/>
                <w:color w:val="000000"/>
                <w:sz w:val="15"/>
                <w:szCs w:val="15"/>
              </w:rPr>
              <w:t>TKI</w:t>
            </w:r>
            <w:r>
              <w:rPr>
                <w:rFonts w:hint="eastAsia" w:ascii="Times New Roman" w:hAnsi="宋体" w:cs="宋体"/>
                <w:color w:val="000000"/>
                <w:sz w:val="15"/>
                <w:szCs w:val="15"/>
              </w:rPr>
              <w:t>）治疗时或治疗后出现疾病进展，并且经检验确认存在</w:t>
            </w:r>
            <w:r>
              <w:rPr>
                <w:rFonts w:hint="eastAsia" w:ascii="Times New Roman" w:hAnsi="Times New Roman" w:cs="宋体"/>
                <w:color w:val="000000"/>
                <w:sz w:val="15"/>
                <w:szCs w:val="15"/>
              </w:rPr>
              <w:t xml:space="preserve">EGFR T790M </w:t>
            </w:r>
            <w:r>
              <w:rPr>
                <w:rFonts w:hint="eastAsia" w:ascii="Times New Roman" w:hAnsi="宋体" w:cs="宋体"/>
                <w:color w:val="000000"/>
                <w:sz w:val="15"/>
                <w:szCs w:val="15"/>
              </w:rPr>
              <w:t>突变阳性的局部晚期或转移性非小细胞肺癌成人患者。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 xml:space="preserve">4.EGFR T790M </w:t>
            </w:r>
            <w:r>
              <w:rPr>
                <w:rFonts w:hint="eastAsia" w:ascii="Times New Roman" w:hAnsi="宋体" w:cs="宋体"/>
                <w:color w:val="000000"/>
                <w:sz w:val="15"/>
                <w:szCs w:val="15"/>
              </w:rPr>
              <w:t>突变阳性报告；</w:t>
            </w:r>
            <w:r>
              <w:rPr>
                <w:rFonts w:hint="eastAsia" w:ascii="Times New Roman" w:hAnsi="Times New Roman" w:cs="宋体"/>
                <w:color w:val="000000"/>
                <w:sz w:val="15"/>
                <w:szCs w:val="15"/>
              </w:rPr>
              <w:t>5.</w:t>
            </w:r>
            <w:r>
              <w:rPr>
                <w:rFonts w:hint="eastAsia" w:ascii="Times New Roman" w:hAnsi="宋体" w:cs="宋体"/>
                <w:color w:val="000000"/>
                <w:sz w:val="15"/>
                <w:szCs w:val="15"/>
              </w:rPr>
              <w:t>表皮生长因子受体（</w:t>
            </w:r>
            <w:r>
              <w:rPr>
                <w:rFonts w:hint="eastAsia" w:ascii="Times New Roman" w:hAnsi="Times New Roman" w:cs="宋体"/>
                <w:color w:val="000000"/>
                <w:sz w:val="15"/>
                <w:szCs w:val="15"/>
              </w:rPr>
              <w:t>EGFR</w:t>
            </w:r>
            <w:r>
              <w:rPr>
                <w:rFonts w:hint="eastAsia" w:ascii="Times New Roman" w:hAnsi="宋体" w:cs="宋体"/>
                <w:color w:val="000000"/>
                <w:sz w:val="15"/>
                <w:szCs w:val="15"/>
              </w:rPr>
              <w:t>）酪氨酸激酶抑制剂（</w:t>
            </w:r>
            <w:r>
              <w:rPr>
                <w:rFonts w:hint="eastAsia" w:ascii="Times New Roman" w:hAnsi="Times New Roman" w:cs="宋体"/>
                <w:color w:val="000000"/>
                <w:sz w:val="15"/>
                <w:szCs w:val="15"/>
              </w:rPr>
              <w:t>TKI</w:t>
            </w:r>
            <w:r>
              <w:rPr>
                <w:rFonts w:hint="eastAsia" w:ascii="Times New Roman" w:hAnsi="宋体" w:cs="宋体"/>
                <w:color w:val="000000"/>
                <w:sz w:val="15"/>
                <w:szCs w:val="15"/>
              </w:rPr>
              <w:t>）治疗时或治疗后出现疾病进展的病史资料。</w:t>
            </w:r>
          </w:p>
        </w:tc>
      </w:tr>
      <w:tr>
        <w:tblPrEx>
          <w:tblCellMar>
            <w:top w:w="0" w:type="dxa"/>
            <w:left w:w="108" w:type="dxa"/>
            <w:bottom w:w="0" w:type="dxa"/>
            <w:right w:w="108" w:type="dxa"/>
          </w:tblCellMar>
        </w:tblPrEx>
        <w:trPr>
          <w:trHeight w:val="1590"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28</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安罗替尼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限既往至少接受过</w:t>
            </w:r>
            <w:r>
              <w:rPr>
                <w:rFonts w:hint="eastAsia" w:ascii="Times New Roman" w:hAnsi="Times New Roman" w:cs="宋体"/>
                <w:color w:val="000000"/>
                <w:sz w:val="15"/>
                <w:szCs w:val="15"/>
              </w:rPr>
              <w:t>2</w:t>
            </w:r>
            <w:r>
              <w:rPr>
                <w:rFonts w:hint="eastAsia" w:ascii="Times New Roman" w:hAnsi="宋体" w:cs="宋体"/>
                <w:color w:val="000000"/>
                <w:sz w:val="15"/>
                <w:szCs w:val="15"/>
              </w:rPr>
              <w:t>种系统化疗后出现进展或复发的局部晚期或转移性非小细胞肺癌患者。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既往至少接受过</w:t>
            </w:r>
            <w:r>
              <w:rPr>
                <w:rFonts w:hint="eastAsia" w:ascii="Times New Roman" w:hAnsi="Times New Roman" w:cs="宋体"/>
                <w:color w:val="000000"/>
                <w:sz w:val="15"/>
                <w:szCs w:val="15"/>
              </w:rPr>
              <w:t>2</w:t>
            </w:r>
            <w:r>
              <w:rPr>
                <w:rFonts w:hint="eastAsia" w:ascii="Times New Roman" w:hAnsi="宋体" w:cs="宋体"/>
                <w:color w:val="000000"/>
                <w:sz w:val="15"/>
                <w:szCs w:val="15"/>
              </w:rPr>
              <w:t>种系统化疗出现进展或复发病史资料。</w:t>
            </w:r>
          </w:p>
        </w:tc>
      </w:tr>
      <w:tr>
        <w:tblPrEx>
          <w:tblCellMar>
            <w:top w:w="0" w:type="dxa"/>
            <w:left w:w="108" w:type="dxa"/>
            <w:bottom w:w="0" w:type="dxa"/>
            <w:right w:w="108" w:type="dxa"/>
          </w:tblCellMar>
        </w:tblPrEx>
        <w:trPr>
          <w:trHeight w:val="1328"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29</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克唑替尼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限间变性淋巴瘤激酶（</w:t>
            </w:r>
            <w:r>
              <w:rPr>
                <w:rFonts w:hint="eastAsia" w:ascii="Times New Roman" w:hAnsi="Times New Roman" w:cs="宋体"/>
                <w:color w:val="000000"/>
                <w:sz w:val="15"/>
                <w:szCs w:val="15"/>
              </w:rPr>
              <w:t>ALK</w:t>
            </w:r>
            <w:r>
              <w:rPr>
                <w:rFonts w:hint="eastAsia" w:ascii="Times New Roman" w:hAnsi="宋体" w:cs="宋体"/>
                <w:color w:val="000000"/>
                <w:sz w:val="15"/>
                <w:szCs w:val="15"/>
              </w:rPr>
              <w:t>）阳性的局部晚期或转移性非小细胞肺癌患者或</w:t>
            </w:r>
            <w:r>
              <w:rPr>
                <w:rFonts w:hint="eastAsia" w:ascii="Times New Roman" w:hAnsi="Times New Roman" w:cs="宋体"/>
                <w:color w:val="000000"/>
                <w:sz w:val="15"/>
                <w:szCs w:val="15"/>
              </w:rPr>
              <w:t xml:space="preserve"> ROS1</w:t>
            </w:r>
            <w:r>
              <w:rPr>
                <w:rFonts w:hint="eastAsia" w:ascii="Times New Roman" w:hAnsi="宋体" w:cs="宋体"/>
                <w:color w:val="000000"/>
                <w:sz w:val="15"/>
                <w:szCs w:val="15"/>
              </w:rPr>
              <w:t>阳性的晚期非小细胞肺癌患者。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符合下列两项之一：（</w:t>
            </w:r>
            <w:r>
              <w:rPr>
                <w:rFonts w:hint="eastAsia" w:ascii="Times New Roman" w:hAnsi="Times New Roman" w:cs="宋体"/>
                <w:color w:val="000000"/>
                <w:sz w:val="15"/>
                <w:szCs w:val="15"/>
              </w:rPr>
              <w:t>1</w:t>
            </w:r>
            <w:r>
              <w:rPr>
                <w:rFonts w:hint="eastAsia" w:ascii="Times New Roman" w:hAnsi="宋体" w:cs="宋体"/>
                <w:color w:val="000000"/>
                <w:sz w:val="15"/>
                <w:szCs w:val="15"/>
              </w:rPr>
              <w:t>）生物分子标志物检测</w:t>
            </w:r>
            <w:r>
              <w:rPr>
                <w:rFonts w:hint="eastAsia" w:ascii="Times New Roman" w:hAnsi="Times New Roman" w:cs="宋体"/>
                <w:color w:val="000000"/>
                <w:sz w:val="15"/>
                <w:szCs w:val="15"/>
              </w:rPr>
              <w:t>ALK</w:t>
            </w:r>
            <w:r>
              <w:rPr>
                <w:rFonts w:hint="eastAsia" w:ascii="Times New Roman" w:hAnsi="宋体" w:cs="宋体"/>
                <w:color w:val="000000"/>
                <w:sz w:val="15"/>
                <w:szCs w:val="15"/>
              </w:rPr>
              <w:t>阳性；（</w:t>
            </w:r>
            <w:r>
              <w:rPr>
                <w:rFonts w:hint="eastAsia" w:ascii="Times New Roman" w:hAnsi="Times New Roman" w:cs="宋体"/>
                <w:color w:val="000000"/>
                <w:sz w:val="15"/>
                <w:szCs w:val="15"/>
              </w:rPr>
              <w:t>2</w:t>
            </w:r>
            <w:r>
              <w:rPr>
                <w:rFonts w:hint="eastAsia" w:ascii="Times New Roman" w:hAnsi="宋体" w:cs="宋体"/>
                <w:color w:val="000000"/>
                <w:sz w:val="15"/>
                <w:szCs w:val="15"/>
              </w:rPr>
              <w:t>）生物分子标志物检测</w:t>
            </w:r>
            <w:r>
              <w:rPr>
                <w:rFonts w:hint="eastAsia" w:ascii="Times New Roman" w:hAnsi="Times New Roman" w:cs="宋体"/>
                <w:color w:val="000000"/>
                <w:sz w:val="15"/>
                <w:szCs w:val="15"/>
              </w:rPr>
              <w:t>ROS1</w:t>
            </w:r>
            <w:r>
              <w:rPr>
                <w:rFonts w:hint="eastAsia" w:ascii="Times New Roman" w:hAnsi="宋体" w:cs="宋体"/>
                <w:color w:val="000000"/>
                <w:sz w:val="15"/>
                <w:szCs w:val="15"/>
              </w:rPr>
              <w:t>阳性</w:t>
            </w:r>
            <w:r>
              <w:rPr>
                <w:rFonts w:hint="eastAsia" w:ascii="Times New Roman" w:hAnsi="Times New Roman" w:cs="宋体"/>
                <w:color w:val="000000"/>
                <w:sz w:val="15"/>
                <w:szCs w:val="15"/>
              </w:rPr>
              <w:t>(FISH</w:t>
            </w:r>
            <w:r>
              <w:rPr>
                <w:rFonts w:hint="eastAsia" w:ascii="Times New Roman" w:hAnsi="宋体" w:cs="宋体"/>
                <w:color w:val="000000"/>
                <w:sz w:val="15"/>
                <w:szCs w:val="15"/>
              </w:rPr>
              <w:t>或</w:t>
            </w:r>
            <w:r>
              <w:rPr>
                <w:rFonts w:hint="eastAsia" w:ascii="Times New Roman" w:hAnsi="Times New Roman" w:cs="宋体"/>
                <w:color w:val="000000"/>
                <w:sz w:val="15"/>
                <w:szCs w:val="15"/>
              </w:rPr>
              <w:t>PCR</w:t>
            </w:r>
            <w:r>
              <w:rPr>
                <w:rFonts w:hint="eastAsia" w:ascii="Times New Roman" w:hAnsi="宋体" w:cs="宋体"/>
                <w:color w:val="000000"/>
                <w:sz w:val="15"/>
                <w:szCs w:val="15"/>
              </w:rPr>
              <w:t>或</w:t>
            </w:r>
            <w:r>
              <w:rPr>
                <w:rFonts w:hint="eastAsia" w:ascii="Times New Roman" w:hAnsi="Times New Roman" w:cs="宋体"/>
                <w:color w:val="000000"/>
                <w:sz w:val="15"/>
                <w:szCs w:val="15"/>
              </w:rPr>
              <w:t>NGS</w:t>
            </w:r>
            <w:r>
              <w:rPr>
                <w:rFonts w:hint="eastAsia" w:ascii="Times New Roman" w:hAnsi="宋体" w:cs="宋体"/>
                <w:color w:val="000000"/>
                <w:sz w:val="15"/>
                <w:szCs w:val="15"/>
              </w:rPr>
              <w:t>方法）。</w:t>
            </w:r>
          </w:p>
        </w:tc>
      </w:tr>
      <w:tr>
        <w:tblPrEx>
          <w:tblCellMar>
            <w:top w:w="0" w:type="dxa"/>
            <w:left w:w="108" w:type="dxa"/>
            <w:bottom w:w="0" w:type="dxa"/>
            <w:right w:w="108" w:type="dxa"/>
          </w:tblCellMar>
        </w:tblPrEx>
        <w:trPr>
          <w:trHeight w:val="1328"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30</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塞瑞替尼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接受过克唑替尼治疗后进展的或者对克唑替尼不耐受的间变性淋巴瘤激酶（</w:t>
            </w:r>
            <w:r>
              <w:rPr>
                <w:rFonts w:hint="eastAsia" w:ascii="Times New Roman" w:hAnsi="Times New Roman" w:cs="宋体"/>
                <w:color w:val="000000"/>
                <w:sz w:val="15"/>
                <w:szCs w:val="15"/>
              </w:rPr>
              <w:t>ALK</w:t>
            </w:r>
            <w:r>
              <w:rPr>
                <w:rFonts w:hint="eastAsia" w:ascii="Times New Roman" w:hAnsi="宋体" w:cs="宋体"/>
                <w:color w:val="000000"/>
                <w:sz w:val="15"/>
                <w:szCs w:val="15"/>
              </w:rPr>
              <w:t>）阳性局部晚期或转移性非小细胞肺癌患者。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w:t>
            </w:r>
            <w:r>
              <w:rPr>
                <w:rFonts w:hint="eastAsia" w:ascii="Times New Roman" w:hAnsi="宋体" w:cs="宋体"/>
                <w:color w:val="000000"/>
                <w:sz w:val="15"/>
                <w:szCs w:val="15"/>
              </w:rPr>
              <w:t>克唑替尼治疗后进展或者对克唑替尼不耐受的病史资料；</w:t>
            </w:r>
            <w:r>
              <w:rPr>
                <w:rFonts w:hint="eastAsia" w:ascii="Times New Roman" w:hAnsi="Times New Roman" w:cs="宋体"/>
                <w:color w:val="000000"/>
                <w:sz w:val="15"/>
                <w:szCs w:val="15"/>
              </w:rPr>
              <w:t>5.</w:t>
            </w:r>
            <w:r>
              <w:rPr>
                <w:rFonts w:hint="eastAsia" w:ascii="Times New Roman" w:hAnsi="宋体" w:cs="宋体"/>
                <w:color w:val="000000"/>
                <w:sz w:val="15"/>
                <w:szCs w:val="15"/>
              </w:rPr>
              <w:t>生物分子标志物检测</w:t>
            </w:r>
            <w:r>
              <w:rPr>
                <w:rFonts w:hint="eastAsia" w:ascii="Times New Roman" w:hAnsi="Times New Roman" w:cs="宋体"/>
                <w:color w:val="000000"/>
                <w:sz w:val="15"/>
                <w:szCs w:val="15"/>
              </w:rPr>
              <w:t>ALK</w:t>
            </w:r>
            <w:r>
              <w:rPr>
                <w:rFonts w:hint="eastAsia" w:ascii="Times New Roman" w:hAnsi="宋体" w:cs="宋体"/>
                <w:color w:val="000000"/>
                <w:sz w:val="15"/>
                <w:szCs w:val="15"/>
              </w:rPr>
              <w:t>阳性。</w:t>
            </w:r>
          </w:p>
        </w:tc>
      </w:tr>
      <w:tr>
        <w:tblPrEx>
          <w:tblCellMar>
            <w:top w:w="0" w:type="dxa"/>
            <w:left w:w="108" w:type="dxa"/>
            <w:bottom w:w="0" w:type="dxa"/>
            <w:right w:w="108" w:type="dxa"/>
          </w:tblCellMar>
        </w:tblPrEx>
        <w:trPr>
          <w:trHeight w:val="80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31</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阿来替尼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限间变性淋巴瘤激酶（</w:t>
            </w:r>
            <w:r>
              <w:rPr>
                <w:rFonts w:hint="eastAsia" w:ascii="Times New Roman" w:hAnsi="Times New Roman" w:cs="宋体"/>
                <w:color w:val="000000"/>
                <w:sz w:val="15"/>
                <w:szCs w:val="15"/>
              </w:rPr>
              <w:t>ALK</w:t>
            </w:r>
            <w:r>
              <w:rPr>
                <w:rFonts w:hint="eastAsia" w:ascii="Times New Roman" w:hAnsi="宋体" w:cs="宋体"/>
                <w:color w:val="000000"/>
                <w:sz w:val="15"/>
                <w:szCs w:val="15"/>
              </w:rPr>
              <w:t>）阳性的局部晚期或转移性非小细胞肺癌患者。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w:t>
            </w:r>
            <w:r>
              <w:rPr>
                <w:rFonts w:hint="eastAsia" w:ascii="Times New Roman" w:hAnsi="宋体" w:cs="宋体"/>
                <w:color w:val="000000"/>
                <w:sz w:val="15"/>
                <w:szCs w:val="15"/>
              </w:rPr>
              <w:t>生物分子标志物检测</w:t>
            </w:r>
            <w:r>
              <w:rPr>
                <w:rFonts w:hint="eastAsia" w:ascii="Times New Roman" w:hAnsi="Times New Roman" w:cs="宋体"/>
                <w:color w:val="000000"/>
                <w:sz w:val="15"/>
                <w:szCs w:val="15"/>
              </w:rPr>
              <w:t>ALK</w:t>
            </w:r>
            <w:r>
              <w:rPr>
                <w:rFonts w:hint="eastAsia" w:ascii="Times New Roman" w:hAnsi="宋体" w:cs="宋体"/>
                <w:color w:val="000000"/>
                <w:sz w:val="15"/>
                <w:szCs w:val="15"/>
              </w:rPr>
              <w:t>阳性。</w:t>
            </w:r>
          </w:p>
        </w:tc>
      </w:tr>
      <w:tr>
        <w:tblPrEx>
          <w:tblCellMar>
            <w:top w:w="0" w:type="dxa"/>
            <w:left w:w="108" w:type="dxa"/>
            <w:bottom w:w="0" w:type="dxa"/>
            <w:right w:w="108" w:type="dxa"/>
          </w:tblCellMar>
        </w:tblPrEx>
        <w:trPr>
          <w:trHeight w:val="1328"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32</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培唑帕尼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限晚期肾细胞癌患者的一线治疗和曾经接受过细胞因子治疗的晚期肾细胞癌的治疗。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w:t>
            </w:r>
            <w:r>
              <w:rPr>
                <w:rFonts w:hint="eastAsia" w:ascii="Times New Roman" w:hAnsi="宋体" w:cs="宋体"/>
                <w:color w:val="000000"/>
                <w:sz w:val="15"/>
                <w:szCs w:val="15"/>
              </w:rPr>
              <w:t>一线治疗或曾经接受过细胞因子治疗的病史证明资料。</w:t>
            </w:r>
          </w:p>
        </w:tc>
      </w:tr>
      <w:tr>
        <w:tblPrEx>
          <w:tblCellMar>
            <w:top w:w="0" w:type="dxa"/>
            <w:left w:w="108" w:type="dxa"/>
            <w:bottom w:w="0" w:type="dxa"/>
            <w:right w:w="108" w:type="dxa"/>
          </w:tblCellMar>
        </w:tblPrEx>
        <w:trPr>
          <w:trHeight w:val="1067"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33</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阿昔替尼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限既往接受过一种酪氨酸激酶抑制剂或细胞因子治疗失败的进展期肾细胞癌</w:t>
            </w:r>
            <w:r>
              <w:rPr>
                <w:rFonts w:hint="eastAsia" w:ascii="Times New Roman" w:hAnsi="Times New Roman" w:cs="宋体"/>
                <w:color w:val="000000"/>
                <w:sz w:val="15"/>
                <w:szCs w:val="15"/>
              </w:rPr>
              <w:t>(RCC)</w:t>
            </w:r>
            <w:r>
              <w:rPr>
                <w:rFonts w:hint="eastAsia" w:ascii="Times New Roman" w:hAnsi="宋体" w:cs="宋体"/>
                <w:color w:val="000000"/>
                <w:sz w:val="15"/>
                <w:szCs w:val="15"/>
              </w:rPr>
              <w:t>的成人患者。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肿瘤进展符合</w:t>
            </w:r>
            <w:r>
              <w:rPr>
                <w:rFonts w:hint="eastAsia" w:ascii="Times New Roman" w:hAnsi="Times New Roman" w:cs="宋体"/>
                <w:color w:val="000000"/>
                <w:sz w:val="15"/>
                <w:szCs w:val="15"/>
              </w:rPr>
              <w:t>RECIST</w:t>
            </w:r>
            <w:r>
              <w:rPr>
                <w:rFonts w:hint="eastAsia" w:ascii="Times New Roman" w:hAnsi="宋体" w:cs="宋体"/>
                <w:color w:val="000000"/>
                <w:sz w:val="15"/>
                <w:szCs w:val="15"/>
              </w:rPr>
              <w:t>标准；</w:t>
            </w:r>
            <w:r>
              <w:rPr>
                <w:rFonts w:hint="eastAsia" w:ascii="Times New Roman" w:hAnsi="Times New Roman" w:cs="宋体"/>
                <w:color w:val="000000"/>
                <w:sz w:val="15"/>
                <w:szCs w:val="15"/>
              </w:rPr>
              <w:t>4.</w:t>
            </w:r>
            <w:r>
              <w:rPr>
                <w:rFonts w:hint="eastAsia" w:ascii="Times New Roman" w:hAnsi="宋体" w:cs="宋体"/>
                <w:color w:val="000000"/>
                <w:sz w:val="15"/>
                <w:szCs w:val="15"/>
              </w:rPr>
              <w:t>既往接受过一种酪氨酸激酶抑制剂或细胞因子治疗失败的病史资料。</w:t>
            </w:r>
          </w:p>
        </w:tc>
      </w:tr>
      <w:tr>
        <w:tblPrEx>
          <w:tblCellMar>
            <w:top w:w="0" w:type="dxa"/>
            <w:left w:w="108" w:type="dxa"/>
            <w:bottom w:w="0" w:type="dxa"/>
            <w:right w:w="108" w:type="dxa"/>
          </w:tblCellMar>
        </w:tblPrEx>
        <w:trPr>
          <w:trHeight w:val="544"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34</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索拉非尼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不能手术的肾细胞癌。</w:t>
            </w:r>
            <w:r>
              <w:rPr>
                <w:rFonts w:hint="eastAsia" w:ascii="Times New Roman" w:hAnsi="Times New Roman" w:cs="宋体"/>
                <w:color w:val="000000"/>
                <w:sz w:val="15"/>
                <w:szCs w:val="15"/>
              </w:rPr>
              <w:t>2.</w:t>
            </w:r>
            <w:r>
              <w:rPr>
                <w:rFonts w:hint="eastAsia" w:ascii="Times New Roman" w:hAnsi="宋体" w:cs="宋体"/>
                <w:color w:val="000000"/>
                <w:sz w:val="15"/>
                <w:szCs w:val="15"/>
              </w:rPr>
              <w:t>不能手术或远处转移的肝细胞癌。</w:t>
            </w:r>
            <w:r>
              <w:rPr>
                <w:rFonts w:hint="eastAsia" w:ascii="Times New Roman" w:hAnsi="Times New Roman" w:cs="宋体"/>
                <w:color w:val="000000"/>
                <w:sz w:val="15"/>
                <w:szCs w:val="15"/>
              </w:rPr>
              <w:t>3.</w:t>
            </w:r>
            <w:r>
              <w:rPr>
                <w:rFonts w:hint="eastAsia" w:ascii="Times New Roman" w:hAnsi="宋体" w:cs="宋体"/>
                <w:color w:val="000000"/>
                <w:sz w:val="15"/>
                <w:szCs w:val="15"/>
              </w:rPr>
              <w:t>放射性碘治疗无效的局部复发或转移性、分化型甲状腺癌。</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不能手术的病史资料。</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肝细胞癌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病理学检查或影像学报告；</w:t>
            </w:r>
            <w:r>
              <w:rPr>
                <w:rFonts w:hint="eastAsia" w:ascii="Times New Roman" w:hAnsi="Times New Roman" w:cs="宋体"/>
                <w:color w:val="000000"/>
                <w:sz w:val="15"/>
                <w:szCs w:val="15"/>
              </w:rPr>
              <w:t>3.</w:t>
            </w:r>
            <w:r>
              <w:rPr>
                <w:rFonts w:hint="eastAsia" w:ascii="Times New Roman" w:hAnsi="宋体" w:cs="宋体"/>
                <w:color w:val="000000"/>
                <w:sz w:val="15"/>
                <w:szCs w:val="15"/>
              </w:rPr>
              <w:t>不能手术的：需提供病史资料；远处转移的：需提供影像学或病理学检查报告。</w:t>
            </w:r>
          </w:p>
        </w:tc>
      </w:tr>
      <w:tr>
        <w:tblPrEx>
          <w:tblCellMar>
            <w:top w:w="0" w:type="dxa"/>
            <w:left w:w="108" w:type="dxa"/>
            <w:bottom w:w="0" w:type="dxa"/>
            <w:right w:w="108" w:type="dxa"/>
          </w:tblCellMar>
        </w:tblPrEx>
        <w:trPr>
          <w:trHeight w:val="106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分化型甲状腺癌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放射性碘治疗无效局部复发的：需提供病史资料；放射性碘治疗无效转移的：需提供影像学或病理学检查报告。</w:t>
            </w:r>
          </w:p>
        </w:tc>
      </w:tr>
      <w:tr>
        <w:tblPrEx>
          <w:tblCellMar>
            <w:top w:w="0" w:type="dxa"/>
            <w:left w:w="108" w:type="dxa"/>
            <w:bottom w:w="0" w:type="dxa"/>
            <w:right w:w="108" w:type="dxa"/>
          </w:tblCellMar>
        </w:tblPrEx>
        <w:trPr>
          <w:trHeight w:val="805"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35</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瑞戈非尼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肝细胞癌二线治疗；</w:t>
            </w:r>
            <w:r>
              <w:rPr>
                <w:rFonts w:hint="eastAsia" w:ascii="Times New Roman" w:hAnsi="Times New Roman" w:cs="宋体"/>
                <w:color w:val="000000"/>
                <w:sz w:val="15"/>
                <w:szCs w:val="15"/>
              </w:rPr>
              <w:t>2.</w:t>
            </w:r>
            <w:r>
              <w:rPr>
                <w:rFonts w:hint="eastAsia" w:ascii="Times New Roman" w:hAnsi="宋体" w:cs="宋体"/>
                <w:color w:val="000000"/>
                <w:sz w:val="15"/>
                <w:szCs w:val="15"/>
              </w:rPr>
              <w:t>转移性结直肠癌三线治疗；</w:t>
            </w:r>
            <w:r>
              <w:rPr>
                <w:rFonts w:hint="eastAsia" w:ascii="Times New Roman" w:hAnsi="Times New Roman" w:cs="宋体"/>
                <w:color w:val="000000"/>
                <w:sz w:val="15"/>
                <w:szCs w:val="15"/>
              </w:rPr>
              <w:t>3.</w:t>
            </w:r>
            <w:r>
              <w:rPr>
                <w:rFonts w:hint="eastAsia" w:ascii="Times New Roman" w:hAnsi="宋体" w:cs="宋体"/>
                <w:color w:val="000000"/>
                <w:sz w:val="15"/>
                <w:szCs w:val="15"/>
              </w:rPr>
              <w:t>胃肠道间质瘤三线治疗。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肝细胞癌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一线药物治疗失败或不能耐受的病史资料。</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转移性结直肠癌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一线、二线药物治疗失败或不能耐受的病史资料。</w:t>
            </w:r>
          </w:p>
        </w:tc>
      </w:tr>
      <w:tr>
        <w:tblPrEx>
          <w:tblCellMar>
            <w:top w:w="0" w:type="dxa"/>
            <w:left w:w="108" w:type="dxa"/>
            <w:bottom w:w="0" w:type="dxa"/>
            <w:right w:w="108" w:type="dxa"/>
          </w:tblCellMar>
        </w:tblPrEx>
        <w:trPr>
          <w:trHeight w:val="544"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胃肠道间质瘤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一线、二线药物治疗失败或不能耐受的病史资料。</w:t>
            </w:r>
          </w:p>
        </w:tc>
      </w:tr>
      <w:tr>
        <w:tblPrEx>
          <w:tblCellMar>
            <w:top w:w="0" w:type="dxa"/>
            <w:left w:w="108" w:type="dxa"/>
            <w:bottom w:w="0" w:type="dxa"/>
            <w:right w:w="108" w:type="dxa"/>
          </w:tblCellMar>
        </w:tblPrEx>
        <w:trPr>
          <w:trHeight w:val="544"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36</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舒尼替尼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不能手术的晚期肾细胞癌（</w:t>
            </w:r>
            <w:r>
              <w:rPr>
                <w:rFonts w:hint="eastAsia" w:ascii="Times New Roman" w:hAnsi="Times New Roman" w:cs="宋体"/>
                <w:color w:val="000000"/>
                <w:sz w:val="15"/>
                <w:szCs w:val="15"/>
              </w:rPr>
              <w:t>RCC)</w:t>
            </w:r>
            <w:r>
              <w:rPr>
                <w:rFonts w:hint="eastAsia" w:ascii="Times New Roman" w:hAnsi="宋体" w:cs="宋体"/>
                <w:color w:val="000000"/>
                <w:sz w:val="15"/>
                <w:szCs w:val="15"/>
              </w:rPr>
              <w:t>；</w:t>
            </w:r>
            <w:r>
              <w:rPr>
                <w:rFonts w:hint="eastAsia" w:ascii="Times New Roman" w:hAnsi="Times New Roman" w:cs="宋体"/>
                <w:color w:val="000000"/>
                <w:sz w:val="15"/>
                <w:szCs w:val="15"/>
              </w:rPr>
              <w:t>2.</w:t>
            </w:r>
            <w:r>
              <w:rPr>
                <w:rFonts w:hint="eastAsia" w:ascii="Times New Roman" w:hAnsi="宋体" w:cs="宋体"/>
                <w:color w:val="000000"/>
                <w:sz w:val="15"/>
                <w:szCs w:val="15"/>
              </w:rPr>
              <w:t>甲磺酸伊马替尼治疗失败或不能耐受的胃肠间质瘤（</w:t>
            </w:r>
            <w:r>
              <w:rPr>
                <w:rFonts w:hint="eastAsia" w:ascii="Times New Roman" w:hAnsi="Times New Roman" w:cs="宋体"/>
                <w:color w:val="000000"/>
                <w:sz w:val="15"/>
                <w:szCs w:val="15"/>
              </w:rPr>
              <w:t>GIST)</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不可切除的，转移性高分化进展期胰腺神经内分泌瘤（</w:t>
            </w:r>
            <w:r>
              <w:rPr>
                <w:rFonts w:hint="eastAsia" w:ascii="Times New Roman" w:hAnsi="Times New Roman" w:cs="宋体"/>
                <w:color w:val="000000"/>
                <w:sz w:val="15"/>
                <w:szCs w:val="15"/>
              </w:rPr>
              <w:t>pNET</w:t>
            </w:r>
            <w:r>
              <w:rPr>
                <w:rFonts w:hint="eastAsia" w:ascii="Times New Roman" w:hAnsi="宋体" w:cs="宋体"/>
                <w:color w:val="000000"/>
                <w:sz w:val="15"/>
                <w:szCs w:val="15"/>
              </w:rPr>
              <w:t>）成人患者。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不能手术的病史资料。</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胃肠间质瘤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甲磺酸伊马替尼治疗失败或不能耐受的病史资料。</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胰腺神经内分泌瘤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不可手术切除的病史资料。</w:t>
            </w:r>
          </w:p>
        </w:tc>
      </w:tr>
      <w:tr>
        <w:tblPrEx>
          <w:tblCellMar>
            <w:top w:w="0" w:type="dxa"/>
            <w:left w:w="108" w:type="dxa"/>
            <w:bottom w:w="0" w:type="dxa"/>
            <w:right w:w="108" w:type="dxa"/>
          </w:tblCellMar>
        </w:tblPrEx>
        <w:trPr>
          <w:trHeight w:val="106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37</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阿帕替尼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限既往至少接受过</w:t>
            </w:r>
            <w:r>
              <w:rPr>
                <w:rFonts w:hint="eastAsia" w:ascii="Times New Roman" w:hAnsi="Times New Roman" w:cs="宋体"/>
                <w:color w:val="000000"/>
                <w:sz w:val="15"/>
                <w:szCs w:val="15"/>
              </w:rPr>
              <w:t>2</w:t>
            </w:r>
            <w:r>
              <w:rPr>
                <w:rFonts w:hint="eastAsia" w:ascii="Times New Roman" w:hAnsi="宋体" w:cs="宋体"/>
                <w:color w:val="000000"/>
                <w:sz w:val="15"/>
                <w:szCs w:val="15"/>
              </w:rPr>
              <w:t>种系统化疗后进展或复发的晚期胃腺癌或胃</w:t>
            </w:r>
            <w:r>
              <w:rPr>
                <w:rFonts w:hint="eastAsia" w:ascii="Times New Roman" w:hAnsi="Times New Roman" w:cs="宋体"/>
                <w:color w:val="000000"/>
                <w:sz w:val="15"/>
                <w:szCs w:val="15"/>
              </w:rPr>
              <w:t>-</w:t>
            </w:r>
            <w:r>
              <w:rPr>
                <w:rFonts w:hint="eastAsia" w:ascii="Times New Roman" w:hAnsi="宋体" w:cs="宋体"/>
                <w:color w:val="000000"/>
                <w:sz w:val="15"/>
                <w:szCs w:val="15"/>
              </w:rPr>
              <w:t>食管结合部腺癌患者。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胃腺癌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既往接受过至少两种系统化疗后疾病进展或复发的病史资料；</w:t>
            </w:r>
            <w:r>
              <w:rPr>
                <w:rFonts w:hint="eastAsia" w:ascii="Times New Roman" w:hAnsi="Times New Roman" w:cs="宋体"/>
                <w:color w:val="000000"/>
                <w:sz w:val="15"/>
                <w:szCs w:val="15"/>
              </w:rPr>
              <w:t>4.</w:t>
            </w:r>
            <w:r>
              <w:rPr>
                <w:rFonts w:hint="eastAsia" w:ascii="Times New Roman" w:hAnsi="宋体" w:cs="宋体"/>
                <w:color w:val="000000"/>
                <w:sz w:val="15"/>
                <w:szCs w:val="15"/>
              </w:rPr>
              <w:t>证明为晚期的影像学或病理学检查报告</w:t>
            </w:r>
          </w:p>
        </w:tc>
      </w:tr>
      <w:tr>
        <w:tblPrEx>
          <w:tblCellMar>
            <w:top w:w="0" w:type="dxa"/>
            <w:left w:w="108" w:type="dxa"/>
            <w:bottom w:w="0" w:type="dxa"/>
            <w:right w:w="108" w:type="dxa"/>
          </w:tblCellMar>
        </w:tblPrEx>
        <w:trPr>
          <w:trHeight w:val="106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胃</w:t>
            </w:r>
            <w:r>
              <w:rPr>
                <w:rFonts w:hint="eastAsia" w:ascii="Times New Roman" w:hAnsi="Times New Roman" w:cs="宋体"/>
                <w:color w:val="000000"/>
                <w:sz w:val="15"/>
                <w:szCs w:val="15"/>
              </w:rPr>
              <w:t>-</w:t>
            </w:r>
            <w:r>
              <w:rPr>
                <w:rFonts w:hint="eastAsia" w:ascii="Times New Roman" w:hAnsi="宋体" w:cs="宋体"/>
                <w:color w:val="000000"/>
                <w:sz w:val="15"/>
                <w:szCs w:val="15"/>
              </w:rPr>
              <w:t>食管结合部腺癌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既往接受过至少两种系统化疗后疾病进展或复发的病史资料；</w:t>
            </w:r>
            <w:r>
              <w:rPr>
                <w:rFonts w:hint="eastAsia" w:ascii="Times New Roman" w:hAnsi="Times New Roman" w:cs="宋体"/>
                <w:color w:val="000000"/>
                <w:sz w:val="15"/>
                <w:szCs w:val="15"/>
              </w:rPr>
              <w:t>4.</w:t>
            </w:r>
            <w:r>
              <w:rPr>
                <w:rFonts w:hint="eastAsia" w:ascii="Times New Roman" w:hAnsi="宋体" w:cs="宋体"/>
                <w:color w:val="000000"/>
                <w:sz w:val="15"/>
                <w:szCs w:val="15"/>
              </w:rPr>
              <w:t>证明为晚期的影像学或病理学检查报告。</w:t>
            </w:r>
          </w:p>
        </w:tc>
      </w:tr>
      <w:tr>
        <w:tblPrEx>
          <w:tblCellMar>
            <w:top w:w="0" w:type="dxa"/>
            <w:left w:w="108" w:type="dxa"/>
            <w:bottom w:w="0" w:type="dxa"/>
            <w:right w:w="108" w:type="dxa"/>
          </w:tblCellMar>
        </w:tblPrEx>
        <w:trPr>
          <w:trHeight w:val="1067"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38</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呋喹替尼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限转移性结直肠癌患者的三线治疗。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结直肠癌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影像学检查报告（无病理学报告时）；</w:t>
            </w:r>
            <w:r>
              <w:rPr>
                <w:rFonts w:hint="eastAsia" w:ascii="Times New Roman" w:hAnsi="Times New Roman" w:cs="宋体"/>
                <w:color w:val="000000"/>
                <w:sz w:val="15"/>
                <w:szCs w:val="15"/>
              </w:rPr>
              <w:t>4.</w:t>
            </w:r>
            <w:r>
              <w:rPr>
                <w:rFonts w:hint="eastAsia" w:ascii="Times New Roman" w:hAnsi="宋体" w:cs="宋体"/>
                <w:color w:val="000000"/>
                <w:sz w:val="15"/>
                <w:szCs w:val="15"/>
              </w:rPr>
              <w:t>一线、二线药物治疗失败或不能耐受的病史资料。</w:t>
            </w:r>
          </w:p>
        </w:tc>
      </w:tr>
      <w:tr>
        <w:tblPrEx>
          <w:tblCellMar>
            <w:top w:w="0" w:type="dxa"/>
            <w:left w:w="108" w:type="dxa"/>
            <w:bottom w:w="0" w:type="dxa"/>
            <w:right w:w="108" w:type="dxa"/>
          </w:tblCellMar>
        </w:tblPrEx>
        <w:trPr>
          <w:trHeight w:val="1742"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39</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吡咯替尼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限表皮生长因子受体</w:t>
            </w:r>
            <w:r>
              <w:rPr>
                <w:rFonts w:hint="eastAsia" w:ascii="Times New Roman" w:hAnsi="Times New Roman" w:cs="宋体"/>
                <w:color w:val="000000"/>
                <w:sz w:val="15"/>
                <w:szCs w:val="15"/>
              </w:rPr>
              <w:t>2</w:t>
            </w:r>
            <w:r>
              <w:rPr>
                <w:rFonts w:hint="eastAsia" w:ascii="Times New Roman" w:hAnsi="宋体" w:cs="宋体"/>
                <w:color w:val="000000"/>
                <w:sz w:val="15"/>
                <w:szCs w:val="15"/>
              </w:rPr>
              <w:t>（</w:t>
            </w:r>
            <w:r>
              <w:rPr>
                <w:rFonts w:hint="eastAsia" w:ascii="Times New Roman" w:hAnsi="Times New Roman" w:cs="宋体"/>
                <w:color w:val="000000"/>
                <w:sz w:val="15"/>
                <w:szCs w:val="15"/>
              </w:rPr>
              <w:t>HER2</w:t>
            </w:r>
            <w:r>
              <w:rPr>
                <w:rFonts w:hint="eastAsia" w:ascii="Times New Roman" w:hAnsi="宋体" w:cs="宋体"/>
                <w:color w:val="000000"/>
                <w:sz w:val="15"/>
                <w:szCs w:val="15"/>
              </w:rPr>
              <w:t>）阳性的复发或转移性乳腺癌患者的二线治疗。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乳腺癌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3.HER2</w:t>
            </w:r>
            <w:r>
              <w:rPr>
                <w:rFonts w:hint="eastAsia" w:ascii="Times New Roman" w:hAnsi="宋体" w:cs="宋体"/>
                <w:color w:val="000000"/>
                <w:sz w:val="15"/>
                <w:szCs w:val="15"/>
              </w:rPr>
              <w:t>阳性表达；</w:t>
            </w:r>
            <w:r>
              <w:rPr>
                <w:rFonts w:hint="eastAsia" w:ascii="Times New Roman" w:hAnsi="Times New Roman" w:cs="宋体"/>
                <w:color w:val="000000"/>
                <w:sz w:val="15"/>
                <w:szCs w:val="15"/>
              </w:rPr>
              <w:t xml:space="preserve">4.  </w:t>
            </w:r>
            <w:r>
              <w:rPr>
                <w:rFonts w:hint="eastAsia" w:ascii="Times New Roman" w:hAnsi="宋体" w:cs="宋体"/>
                <w:color w:val="000000"/>
                <w:sz w:val="15"/>
                <w:szCs w:val="15"/>
              </w:rPr>
              <w:t>一线药物治疗病史资料。</w:t>
            </w:r>
          </w:p>
        </w:tc>
      </w:tr>
      <w:tr>
        <w:tblPrEx>
          <w:tblCellMar>
            <w:top w:w="0" w:type="dxa"/>
            <w:left w:w="108" w:type="dxa"/>
            <w:bottom w:w="0" w:type="dxa"/>
            <w:right w:w="108" w:type="dxa"/>
          </w:tblCellMar>
        </w:tblPrEx>
        <w:trPr>
          <w:trHeight w:val="2113"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40</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尼洛替尼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限治疗新诊断的费城染色体阳性的慢性髓性白血病（</w:t>
            </w:r>
            <w:r>
              <w:rPr>
                <w:rFonts w:hint="eastAsia" w:ascii="Times New Roman" w:hAnsi="Times New Roman" w:cs="宋体"/>
                <w:color w:val="000000"/>
                <w:sz w:val="15"/>
                <w:szCs w:val="15"/>
              </w:rPr>
              <w:t>Ph+ CML</w:t>
            </w:r>
            <w:r>
              <w:rPr>
                <w:rFonts w:hint="eastAsia" w:ascii="Times New Roman" w:hAnsi="宋体" w:cs="宋体"/>
                <w:color w:val="000000"/>
                <w:sz w:val="15"/>
                <w:szCs w:val="15"/>
              </w:rPr>
              <w:t>）慢性期成人患者，或对既往治疗（包括伊马替尼）耐药或不耐受的费城染色体阳性的慢性髓性白血病（</w:t>
            </w:r>
            <w:r>
              <w:rPr>
                <w:rFonts w:hint="eastAsia" w:ascii="Times New Roman" w:hAnsi="Times New Roman" w:cs="宋体"/>
                <w:color w:val="000000"/>
                <w:sz w:val="15"/>
                <w:szCs w:val="15"/>
              </w:rPr>
              <w:t>Ph+ CML</w:t>
            </w:r>
            <w:r>
              <w:rPr>
                <w:rFonts w:hint="eastAsia" w:ascii="Times New Roman" w:hAnsi="宋体" w:cs="宋体"/>
                <w:color w:val="000000"/>
                <w:sz w:val="15"/>
                <w:szCs w:val="15"/>
              </w:rPr>
              <w:t>）慢性期或加速期成人患者。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慢性髓性白血病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血液及骨髓检查报告；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费城染色体阳性和（或）</w:t>
            </w:r>
            <w:r>
              <w:rPr>
                <w:rFonts w:hint="eastAsia" w:ascii="Times New Roman" w:hAnsi="Times New Roman" w:cs="宋体"/>
                <w:color w:val="000000"/>
                <w:sz w:val="15"/>
                <w:szCs w:val="15"/>
              </w:rPr>
              <w:t>BCR/ABL</w:t>
            </w:r>
            <w:r>
              <w:rPr>
                <w:rFonts w:hint="eastAsia" w:ascii="Times New Roman" w:hAnsi="宋体" w:cs="宋体"/>
                <w:color w:val="000000"/>
                <w:sz w:val="15"/>
                <w:szCs w:val="15"/>
              </w:rPr>
              <w:t>融合基因检查阳性；</w:t>
            </w:r>
            <w:r>
              <w:rPr>
                <w:rFonts w:hint="eastAsia" w:ascii="Times New Roman" w:hAnsi="Times New Roman" w:cs="宋体"/>
                <w:color w:val="000000"/>
                <w:sz w:val="15"/>
                <w:szCs w:val="15"/>
              </w:rPr>
              <w:t>4.</w:t>
            </w:r>
            <w:r>
              <w:rPr>
                <w:rFonts w:hint="eastAsia" w:ascii="Times New Roman" w:hAnsi="宋体" w:cs="宋体"/>
                <w:color w:val="000000"/>
                <w:sz w:val="15"/>
                <w:szCs w:val="15"/>
              </w:rPr>
              <w:t>既往接受过治疗（包括伊马替尼）出现耐药或不耐受的病史资料。</w:t>
            </w:r>
          </w:p>
        </w:tc>
      </w:tr>
      <w:tr>
        <w:tblPrEx>
          <w:tblCellMar>
            <w:top w:w="0" w:type="dxa"/>
            <w:left w:w="108" w:type="dxa"/>
            <w:bottom w:w="0" w:type="dxa"/>
            <w:right w:w="108" w:type="dxa"/>
          </w:tblCellMar>
        </w:tblPrEx>
        <w:trPr>
          <w:trHeight w:val="544"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41</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伊布替尼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既往至少接受过一种治疗的套细胞淋巴瘤（</w:t>
            </w:r>
            <w:r>
              <w:rPr>
                <w:rFonts w:hint="eastAsia" w:ascii="Times New Roman" w:hAnsi="Times New Roman" w:cs="宋体"/>
                <w:color w:val="000000"/>
                <w:sz w:val="15"/>
                <w:szCs w:val="15"/>
              </w:rPr>
              <w:t>MCL</w:t>
            </w:r>
            <w:r>
              <w:rPr>
                <w:rFonts w:hint="eastAsia" w:ascii="Times New Roman" w:hAnsi="宋体" w:cs="宋体"/>
                <w:color w:val="000000"/>
                <w:sz w:val="15"/>
                <w:szCs w:val="15"/>
              </w:rPr>
              <w:t>）患者的治疗</w:t>
            </w:r>
            <w:r>
              <w:rPr>
                <w:rFonts w:hint="eastAsia" w:ascii="Times New Roman" w:hAnsi="Times New Roman" w:cs="宋体"/>
                <w:color w:val="000000"/>
                <w:sz w:val="15"/>
                <w:szCs w:val="15"/>
              </w:rPr>
              <w:t>;2.</w:t>
            </w:r>
            <w:r>
              <w:rPr>
                <w:rFonts w:hint="eastAsia" w:ascii="Times New Roman" w:hAnsi="宋体" w:cs="宋体"/>
                <w:color w:val="000000"/>
                <w:sz w:val="15"/>
                <w:szCs w:val="15"/>
              </w:rPr>
              <w:t>慢性淋巴细胞白血病</w:t>
            </w:r>
            <w:r>
              <w:rPr>
                <w:rFonts w:hint="eastAsia" w:ascii="Times New Roman" w:hAnsi="Times New Roman" w:cs="宋体"/>
                <w:color w:val="000000"/>
                <w:sz w:val="15"/>
                <w:szCs w:val="15"/>
              </w:rPr>
              <w:t>/</w:t>
            </w:r>
            <w:r>
              <w:rPr>
                <w:rFonts w:hint="eastAsia" w:ascii="Times New Roman" w:hAnsi="宋体" w:cs="宋体"/>
                <w:color w:val="000000"/>
                <w:sz w:val="15"/>
                <w:szCs w:val="15"/>
              </w:rPr>
              <w:t>小淋巴细胞淋巴瘤（</w:t>
            </w:r>
            <w:r>
              <w:rPr>
                <w:rFonts w:hint="eastAsia" w:ascii="Times New Roman" w:hAnsi="Times New Roman" w:cs="宋体"/>
                <w:color w:val="000000"/>
                <w:sz w:val="15"/>
                <w:szCs w:val="15"/>
              </w:rPr>
              <w:t>CLL/SLL</w:t>
            </w:r>
            <w:r>
              <w:rPr>
                <w:rFonts w:hint="eastAsia" w:ascii="Times New Roman" w:hAnsi="宋体" w:cs="宋体"/>
                <w:color w:val="000000"/>
                <w:sz w:val="15"/>
                <w:szCs w:val="15"/>
              </w:rPr>
              <w:t>）患者的治疗。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套细胞淋巴瘤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既往至少接受过一种治疗的病史资料。</w:t>
            </w:r>
          </w:p>
        </w:tc>
      </w:tr>
      <w:tr>
        <w:tblPrEx>
          <w:tblCellMar>
            <w:top w:w="0" w:type="dxa"/>
            <w:left w:w="108" w:type="dxa"/>
            <w:bottom w:w="0" w:type="dxa"/>
            <w:right w:w="108" w:type="dxa"/>
          </w:tblCellMar>
        </w:tblPrEx>
        <w:trPr>
          <w:trHeight w:val="51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慢性淋巴细胞白血病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血常规；</w:t>
            </w:r>
            <w:r>
              <w:rPr>
                <w:rFonts w:hint="eastAsia" w:ascii="Times New Roman" w:hAnsi="Times New Roman" w:cs="宋体"/>
                <w:color w:val="000000"/>
                <w:sz w:val="15"/>
                <w:szCs w:val="15"/>
              </w:rPr>
              <w:t>3.</w:t>
            </w:r>
            <w:r>
              <w:rPr>
                <w:rFonts w:hint="eastAsia" w:ascii="Times New Roman" w:hAnsi="宋体" w:cs="宋体"/>
                <w:color w:val="000000"/>
                <w:sz w:val="15"/>
                <w:szCs w:val="15"/>
              </w:rPr>
              <w:t>骨髓细胞检查报告。</w:t>
            </w:r>
          </w:p>
        </w:tc>
      </w:tr>
      <w:tr>
        <w:tblPrEx>
          <w:tblCellMar>
            <w:top w:w="0" w:type="dxa"/>
            <w:left w:w="108" w:type="dxa"/>
            <w:bottom w:w="0" w:type="dxa"/>
            <w:right w:w="108" w:type="dxa"/>
          </w:tblCellMar>
        </w:tblPrEx>
        <w:trPr>
          <w:trHeight w:val="544"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小淋巴细胞淋巴瘤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p>
        </w:tc>
      </w:tr>
      <w:tr>
        <w:tblPrEx>
          <w:tblCellMar>
            <w:top w:w="0" w:type="dxa"/>
            <w:left w:w="108" w:type="dxa"/>
            <w:bottom w:w="0" w:type="dxa"/>
            <w:right w:w="108" w:type="dxa"/>
          </w:tblCellMar>
        </w:tblPrEx>
        <w:trPr>
          <w:trHeight w:val="1067"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42</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维莫非尼</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治疗经</w:t>
            </w:r>
            <w:r>
              <w:rPr>
                <w:rFonts w:hint="eastAsia" w:ascii="Times New Roman" w:hAnsi="Times New Roman" w:cs="宋体"/>
                <w:color w:val="000000"/>
                <w:sz w:val="15"/>
                <w:szCs w:val="15"/>
              </w:rPr>
              <w:t>CFDA</w:t>
            </w:r>
            <w:r>
              <w:rPr>
                <w:rFonts w:hint="eastAsia" w:ascii="Times New Roman" w:hAnsi="宋体" w:cs="宋体"/>
                <w:color w:val="000000"/>
                <w:sz w:val="15"/>
                <w:szCs w:val="15"/>
              </w:rPr>
              <w:t>批准的检测方法确定的</w:t>
            </w:r>
            <w:r>
              <w:rPr>
                <w:rFonts w:hint="eastAsia" w:ascii="Times New Roman" w:hAnsi="Times New Roman" w:cs="宋体"/>
                <w:color w:val="000000"/>
                <w:sz w:val="15"/>
                <w:szCs w:val="15"/>
              </w:rPr>
              <w:t xml:space="preserve">BRAF V600 </w:t>
            </w:r>
            <w:r>
              <w:rPr>
                <w:rFonts w:hint="eastAsia" w:ascii="Times New Roman" w:hAnsi="宋体" w:cs="宋体"/>
                <w:color w:val="000000"/>
                <w:sz w:val="15"/>
                <w:szCs w:val="15"/>
              </w:rPr>
              <w:t>突变阳性的不可切除或转移性黑色素瘤。</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黑色素瘤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经</w:t>
            </w:r>
            <w:r>
              <w:rPr>
                <w:rFonts w:hint="eastAsia" w:ascii="Times New Roman" w:hAnsi="Times New Roman" w:cs="宋体"/>
                <w:color w:val="000000"/>
                <w:sz w:val="15"/>
                <w:szCs w:val="15"/>
              </w:rPr>
              <w:t>CFDA</w:t>
            </w:r>
            <w:r>
              <w:rPr>
                <w:rFonts w:hint="eastAsia" w:ascii="Times New Roman" w:hAnsi="宋体" w:cs="宋体"/>
                <w:color w:val="000000"/>
                <w:sz w:val="15"/>
                <w:szCs w:val="15"/>
              </w:rPr>
              <w:t>批准的检测方法确定</w:t>
            </w:r>
            <w:r>
              <w:rPr>
                <w:rFonts w:hint="eastAsia" w:ascii="Times New Roman" w:hAnsi="Times New Roman" w:cs="宋体"/>
                <w:color w:val="000000"/>
                <w:sz w:val="15"/>
                <w:szCs w:val="15"/>
              </w:rPr>
              <w:t>BRAF</w:t>
            </w:r>
            <w:r>
              <w:rPr>
                <w:rFonts w:hint="eastAsia" w:ascii="Times New Roman" w:hAnsi="宋体" w:cs="宋体"/>
                <w:color w:val="000000"/>
                <w:sz w:val="15"/>
                <w:szCs w:val="15"/>
              </w:rPr>
              <w:t>检测</w:t>
            </w:r>
            <w:r>
              <w:rPr>
                <w:rFonts w:hint="eastAsia" w:ascii="Times New Roman" w:hAnsi="Times New Roman" w:cs="宋体"/>
                <w:color w:val="000000"/>
                <w:sz w:val="15"/>
                <w:szCs w:val="15"/>
              </w:rPr>
              <w:t xml:space="preserve"> V600 </w:t>
            </w:r>
            <w:r>
              <w:rPr>
                <w:rFonts w:hint="eastAsia" w:ascii="Times New Roman" w:hAnsi="宋体" w:cs="宋体"/>
                <w:color w:val="000000"/>
                <w:sz w:val="15"/>
                <w:szCs w:val="15"/>
              </w:rPr>
              <w:t>突变阳性；</w:t>
            </w:r>
            <w:r>
              <w:rPr>
                <w:rFonts w:hint="eastAsia" w:ascii="Times New Roman" w:hAnsi="Times New Roman" w:cs="宋体"/>
                <w:color w:val="000000"/>
                <w:sz w:val="15"/>
                <w:szCs w:val="15"/>
              </w:rPr>
              <w:t>5.</w:t>
            </w:r>
            <w:r>
              <w:rPr>
                <w:rFonts w:hint="eastAsia" w:ascii="Times New Roman" w:hAnsi="宋体" w:cs="宋体"/>
                <w:color w:val="000000"/>
                <w:sz w:val="15"/>
                <w:szCs w:val="15"/>
              </w:rPr>
              <w:t>不可切除的病史资料。</w:t>
            </w:r>
          </w:p>
        </w:tc>
      </w:tr>
      <w:tr>
        <w:tblPrEx>
          <w:tblCellMar>
            <w:top w:w="0" w:type="dxa"/>
            <w:left w:w="108" w:type="dxa"/>
            <w:bottom w:w="0" w:type="dxa"/>
            <w:right w:w="108" w:type="dxa"/>
          </w:tblCellMar>
        </w:tblPrEx>
        <w:trPr>
          <w:trHeight w:val="544"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43</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芦可替尼</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限中危或高危的原发性骨髓纤维化（</w:t>
            </w:r>
            <w:r>
              <w:rPr>
                <w:rFonts w:hint="eastAsia" w:ascii="Times New Roman" w:hAnsi="Times New Roman" w:cs="宋体"/>
                <w:color w:val="000000"/>
                <w:sz w:val="15"/>
                <w:szCs w:val="15"/>
              </w:rPr>
              <w:t>PMF</w:t>
            </w:r>
            <w:r>
              <w:rPr>
                <w:rFonts w:hint="eastAsia" w:ascii="Times New Roman" w:hAnsi="宋体" w:cs="宋体"/>
                <w:color w:val="000000"/>
                <w:sz w:val="15"/>
                <w:szCs w:val="15"/>
              </w:rPr>
              <w:t>）、真性红细胞增多症继发的骨髓纤维化（</w:t>
            </w:r>
            <w:r>
              <w:rPr>
                <w:rFonts w:hint="eastAsia" w:ascii="Times New Roman" w:hAnsi="Times New Roman" w:cs="宋体"/>
                <w:color w:val="000000"/>
                <w:sz w:val="15"/>
                <w:szCs w:val="15"/>
              </w:rPr>
              <w:t>PPV-MF</w:t>
            </w:r>
            <w:r>
              <w:rPr>
                <w:rFonts w:hint="eastAsia" w:ascii="Times New Roman" w:hAnsi="宋体" w:cs="宋体"/>
                <w:color w:val="000000"/>
                <w:sz w:val="15"/>
                <w:szCs w:val="15"/>
              </w:rPr>
              <w:t>）或原发性血小板增多症继发的骨髓纤维化（</w:t>
            </w:r>
            <w:r>
              <w:rPr>
                <w:rFonts w:hint="eastAsia" w:ascii="Times New Roman" w:hAnsi="Times New Roman" w:cs="宋体"/>
                <w:color w:val="000000"/>
                <w:sz w:val="15"/>
                <w:szCs w:val="15"/>
              </w:rPr>
              <w:t>PET-MF</w:t>
            </w:r>
            <w:r>
              <w:rPr>
                <w:rFonts w:hint="eastAsia" w:ascii="Times New Roman" w:hAnsi="宋体" w:cs="宋体"/>
                <w:color w:val="000000"/>
                <w:sz w:val="15"/>
                <w:szCs w:val="15"/>
              </w:rPr>
              <w:t>）的患者。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原发性骨髓纤维化</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骨髓病理学检查。</w:t>
            </w:r>
          </w:p>
        </w:tc>
      </w:tr>
      <w:tr>
        <w:tblPrEx>
          <w:tblCellMar>
            <w:top w:w="0" w:type="dxa"/>
            <w:left w:w="108" w:type="dxa"/>
            <w:bottom w:w="0" w:type="dxa"/>
            <w:right w:w="108" w:type="dxa"/>
          </w:tblCellMar>
        </w:tblPrEx>
        <w:trPr>
          <w:trHeight w:val="1056"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继发性骨髓纤维化</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骨髓病理学检查；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继发性骨髓纤维化需提供真性红细胞增多症或原发性血小板增多症病史资料。</w:t>
            </w:r>
          </w:p>
        </w:tc>
      </w:tr>
      <w:tr>
        <w:tblPrEx>
          <w:tblCellMar>
            <w:top w:w="0" w:type="dxa"/>
            <w:left w:w="108" w:type="dxa"/>
            <w:bottom w:w="0" w:type="dxa"/>
            <w:right w:w="108" w:type="dxa"/>
          </w:tblCellMar>
        </w:tblPrEx>
        <w:trPr>
          <w:trHeight w:val="1721"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44</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伊沙佐米</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每</w:t>
            </w:r>
            <w:r>
              <w:rPr>
                <w:rFonts w:hint="eastAsia" w:ascii="Times New Roman" w:hAnsi="Times New Roman" w:cs="宋体"/>
                <w:color w:val="000000"/>
                <w:sz w:val="15"/>
                <w:szCs w:val="15"/>
              </w:rPr>
              <w:t>2</w:t>
            </w:r>
            <w:r>
              <w:rPr>
                <w:rFonts w:hint="eastAsia" w:ascii="Times New Roman" w:hAnsi="宋体" w:cs="宋体"/>
                <w:color w:val="000000"/>
                <w:sz w:val="15"/>
                <w:szCs w:val="15"/>
              </w:rPr>
              <w:t>个疗程需提供治疗有效的证据后方可继续支付；</w:t>
            </w:r>
            <w:r>
              <w:rPr>
                <w:rFonts w:hint="eastAsia" w:ascii="Times New Roman" w:hAnsi="Times New Roman" w:cs="宋体"/>
                <w:color w:val="000000"/>
                <w:sz w:val="15"/>
                <w:szCs w:val="15"/>
              </w:rPr>
              <w:t>2.</w:t>
            </w:r>
            <w:r>
              <w:rPr>
                <w:rFonts w:hint="eastAsia" w:ascii="Times New Roman" w:hAnsi="宋体" w:cs="宋体"/>
                <w:color w:val="000000"/>
                <w:sz w:val="15"/>
                <w:szCs w:val="15"/>
              </w:rPr>
              <w:t>由三级医院血液专科或血液专科医院医师处方；</w:t>
            </w:r>
            <w:r>
              <w:rPr>
                <w:rFonts w:hint="eastAsia" w:ascii="Times New Roman" w:hAnsi="Times New Roman" w:cs="宋体"/>
                <w:color w:val="000000"/>
                <w:sz w:val="15"/>
                <w:szCs w:val="15"/>
              </w:rPr>
              <w:t>3.</w:t>
            </w:r>
            <w:r>
              <w:rPr>
                <w:rFonts w:hint="eastAsia" w:ascii="Times New Roman" w:hAnsi="宋体" w:cs="宋体"/>
                <w:color w:val="000000"/>
                <w:sz w:val="15"/>
                <w:szCs w:val="15"/>
              </w:rPr>
              <w:t>与来那度胺联合使用时，只支付伊沙佐米或来那度胺中的一种。</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多发性骨髓瘤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骨髓细胞形态学或病理学检查或</w:t>
            </w:r>
            <w:r>
              <w:rPr>
                <w:rFonts w:hint="eastAsia" w:ascii="Times New Roman" w:hAnsi="Times New Roman" w:cs="宋体"/>
                <w:color w:val="000000"/>
                <w:sz w:val="15"/>
                <w:szCs w:val="15"/>
              </w:rPr>
              <w:t>M</w:t>
            </w:r>
            <w:r>
              <w:rPr>
                <w:rFonts w:hint="eastAsia" w:ascii="Times New Roman" w:hAnsi="宋体" w:cs="宋体"/>
                <w:color w:val="000000"/>
                <w:sz w:val="15"/>
                <w:szCs w:val="15"/>
              </w:rPr>
              <w:t>蛋白检查结果；</w:t>
            </w:r>
            <w:r>
              <w:rPr>
                <w:rFonts w:hint="eastAsia" w:ascii="Times New Roman" w:hAnsi="Times New Roman" w:cs="宋体"/>
                <w:color w:val="000000"/>
                <w:sz w:val="15"/>
                <w:szCs w:val="15"/>
              </w:rPr>
              <w:t>3.</w:t>
            </w:r>
            <w:r>
              <w:rPr>
                <w:rFonts w:hint="eastAsia" w:ascii="Times New Roman" w:hAnsi="宋体" w:cs="宋体"/>
                <w:color w:val="000000"/>
                <w:sz w:val="15"/>
                <w:szCs w:val="15"/>
              </w:rPr>
              <w:t>符合下列条件之一：贫血、肾功能损害、高钙血症、骨损害、骨髓浆细胞</w:t>
            </w:r>
            <w:r>
              <w:rPr>
                <w:rFonts w:hint="eastAsia" w:ascii="Times New Roman" w:hAnsi="Times New Roman" w:cs="宋体"/>
                <w:color w:val="000000"/>
                <w:sz w:val="15"/>
                <w:szCs w:val="15"/>
              </w:rPr>
              <w:t>≥60%</w:t>
            </w:r>
            <w:r>
              <w:rPr>
                <w:rFonts w:hint="eastAsia" w:ascii="Times New Roman" w:hAnsi="宋体" w:cs="宋体"/>
                <w:color w:val="000000"/>
                <w:sz w:val="15"/>
                <w:szCs w:val="15"/>
              </w:rPr>
              <w:t>、受累轻链</w:t>
            </w:r>
            <w:r>
              <w:rPr>
                <w:rFonts w:hint="eastAsia" w:ascii="Times New Roman" w:hAnsi="Times New Roman" w:cs="宋体"/>
                <w:color w:val="000000"/>
                <w:sz w:val="15"/>
                <w:szCs w:val="15"/>
              </w:rPr>
              <w:t>/</w:t>
            </w:r>
            <w:r>
              <w:rPr>
                <w:rFonts w:hint="eastAsia" w:ascii="Times New Roman" w:hAnsi="宋体" w:cs="宋体"/>
                <w:color w:val="000000"/>
                <w:sz w:val="15"/>
                <w:szCs w:val="15"/>
              </w:rPr>
              <w:t>非受累轻链</w:t>
            </w:r>
            <w:r>
              <w:rPr>
                <w:rFonts w:hint="eastAsia" w:ascii="Times New Roman" w:hAnsi="Times New Roman" w:cs="宋体"/>
                <w:color w:val="000000"/>
                <w:sz w:val="15"/>
                <w:szCs w:val="15"/>
              </w:rPr>
              <w:t>&gt;100</w:t>
            </w:r>
            <w:r>
              <w:rPr>
                <w:rFonts w:hint="eastAsia" w:ascii="Times New Roman" w:hAnsi="宋体" w:cs="宋体"/>
                <w:color w:val="000000"/>
                <w:sz w:val="15"/>
                <w:szCs w:val="15"/>
              </w:rPr>
              <w:t>、</w:t>
            </w:r>
            <w:r>
              <w:rPr>
                <w:rFonts w:hint="eastAsia" w:ascii="Times New Roman" w:hAnsi="Times New Roman" w:cs="宋体"/>
                <w:color w:val="000000"/>
                <w:sz w:val="15"/>
                <w:szCs w:val="15"/>
              </w:rPr>
              <w:t>PET-CT</w:t>
            </w:r>
            <w:r>
              <w:rPr>
                <w:rFonts w:hint="eastAsia" w:ascii="Times New Roman" w:hAnsi="宋体" w:cs="宋体"/>
                <w:color w:val="000000"/>
                <w:sz w:val="15"/>
                <w:szCs w:val="15"/>
              </w:rPr>
              <w:t>或核磁共振（</w:t>
            </w:r>
            <w:r>
              <w:rPr>
                <w:rFonts w:hint="eastAsia" w:ascii="Times New Roman" w:hAnsi="Times New Roman" w:cs="宋体"/>
                <w:color w:val="000000"/>
                <w:sz w:val="15"/>
                <w:szCs w:val="15"/>
              </w:rPr>
              <w:t>MRI</w:t>
            </w:r>
            <w:r>
              <w:rPr>
                <w:rFonts w:hint="eastAsia" w:ascii="Times New Roman" w:hAnsi="宋体" w:cs="宋体"/>
                <w:color w:val="000000"/>
                <w:sz w:val="15"/>
                <w:szCs w:val="15"/>
              </w:rPr>
              <w:t>）提示病灶</w:t>
            </w:r>
            <w:r>
              <w:rPr>
                <w:rFonts w:hint="eastAsia" w:ascii="Times New Roman" w:hAnsi="Times New Roman" w:cs="宋体"/>
                <w:color w:val="000000"/>
                <w:sz w:val="15"/>
                <w:szCs w:val="15"/>
              </w:rPr>
              <w:t>&gt;5</w:t>
            </w:r>
            <w:r>
              <w:rPr>
                <w:rFonts w:hint="eastAsia" w:ascii="Times New Roman" w:hAnsi="宋体" w:cs="宋体"/>
                <w:color w:val="000000"/>
                <w:sz w:val="15"/>
                <w:szCs w:val="15"/>
              </w:rPr>
              <w:t>毫米。</w:t>
            </w:r>
          </w:p>
        </w:tc>
      </w:tr>
      <w:tr>
        <w:tblPrEx>
          <w:tblCellMar>
            <w:top w:w="0" w:type="dxa"/>
            <w:left w:w="108" w:type="dxa"/>
            <w:bottom w:w="0" w:type="dxa"/>
            <w:right w:w="108" w:type="dxa"/>
          </w:tblCellMar>
        </w:tblPrEx>
        <w:trPr>
          <w:trHeight w:val="1590"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45</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培门冬酶</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儿童急性淋巴细胞白血病患者的一线治疗。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儿童急性淋巴细胞白血病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骨髓检查报告。</w:t>
            </w:r>
          </w:p>
        </w:tc>
      </w:tr>
      <w:tr>
        <w:tblPrEx>
          <w:tblCellMar>
            <w:top w:w="0" w:type="dxa"/>
            <w:left w:w="108" w:type="dxa"/>
            <w:bottom w:w="0" w:type="dxa"/>
            <w:right w:w="108" w:type="dxa"/>
          </w:tblCellMar>
        </w:tblPrEx>
        <w:trPr>
          <w:trHeight w:val="75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46</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奥拉帕利</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限铂敏感的复发性上皮性卵巢癌、输卵管癌或原发性腹膜癌患者。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卵巢癌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w:t>
            </w:r>
            <w:r>
              <w:rPr>
                <w:rFonts w:hint="eastAsia" w:ascii="Times New Roman" w:hAnsi="宋体" w:cs="宋体"/>
                <w:color w:val="000000"/>
                <w:sz w:val="15"/>
                <w:szCs w:val="15"/>
              </w:rPr>
              <w:t>铂敏感的病史资料。</w:t>
            </w:r>
          </w:p>
        </w:tc>
      </w:tr>
      <w:tr>
        <w:tblPrEx>
          <w:tblCellMar>
            <w:top w:w="0" w:type="dxa"/>
            <w:left w:w="108" w:type="dxa"/>
            <w:bottom w:w="0" w:type="dxa"/>
            <w:right w:w="108" w:type="dxa"/>
          </w:tblCellMar>
        </w:tblPrEx>
        <w:trPr>
          <w:trHeight w:val="75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输卵管癌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w:t>
            </w:r>
            <w:r>
              <w:rPr>
                <w:rFonts w:hint="eastAsia" w:ascii="Times New Roman" w:hAnsi="宋体" w:cs="宋体"/>
                <w:color w:val="000000"/>
                <w:sz w:val="15"/>
                <w:szCs w:val="15"/>
              </w:rPr>
              <w:t>铂敏感的病史资料。</w:t>
            </w:r>
          </w:p>
        </w:tc>
      </w:tr>
      <w:tr>
        <w:tblPrEx>
          <w:tblCellMar>
            <w:top w:w="0" w:type="dxa"/>
            <w:left w:w="108" w:type="dxa"/>
            <w:bottom w:w="0" w:type="dxa"/>
            <w:right w:w="108" w:type="dxa"/>
          </w:tblCellMar>
        </w:tblPrEx>
        <w:trPr>
          <w:trHeight w:val="80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原发性腹膜癌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w:t>
            </w:r>
            <w:r>
              <w:rPr>
                <w:rFonts w:hint="eastAsia" w:ascii="Times New Roman" w:hAnsi="宋体" w:cs="宋体"/>
                <w:color w:val="000000"/>
                <w:sz w:val="15"/>
                <w:szCs w:val="15"/>
              </w:rPr>
              <w:t>铂敏感的病史资料。</w:t>
            </w:r>
          </w:p>
        </w:tc>
      </w:tr>
      <w:tr>
        <w:tblPrEx>
          <w:tblCellMar>
            <w:top w:w="0" w:type="dxa"/>
            <w:left w:w="108" w:type="dxa"/>
            <w:bottom w:w="0" w:type="dxa"/>
            <w:right w:w="108" w:type="dxa"/>
          </w:tblCellMar>
        </w:tblPrEx>
        <w:trPr>
          <w:trHeight w:val="549"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47</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重组人血管内皮抑制素</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限晚期非小细胞肺癌患者。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非小细胞肺癌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影像学检查报告。</w:t>
            </w:r>
          </w:p>
        </w:tc>
      </w:tr>
      <w:tr>
        <w:tblPrEx>
          <w:tblCellMar>
            <w:top w:w="0" w:type="dxa"/>
            <w:left w:w="108" w:type="dxa"/>
            <w:bottom w:w="0" w:type="dxa"/>
            <w:right w:w="108" w:type="dxa"/>
          </w:tblCellMar>
        </w:tblPrEx>
        <w:trPr>
          <w:trHeight w:val="1067"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48</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西达本胺</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限既往至少接受过</w:t>
            </w:r>
            <w:r>
              <w:rPr>
                <w:rFonts w:hint="eastAsia" w:ascii="Times New Roman" w:hAnsi="Times New Roman" w:cs="宋体"/>
                <w:color w:val="000000"/>
                <w:sz w:val="15"/>
                <w:szCs w:val="15"/>
              </w:rPr>
              <w:t>1</w:t>
            </w:r>
            <w:r>
              <w:rPr>
                <w:rFonts w:hint="eastAsia" w:ascii="Times New Roman" w:hAnsi="宋体" w:cs="宋体"/>
                <w:color w:val="000000"/>
                <w:sz w:val="15"/>
                <w:szCs w:val="15"/>
              </w:rPr>
              <w:t>次全身化疗的复发或难治的外周</w:t>
            </w:r>
            <w:r>
              <w:rPr>
                <w:rFonts w:hint="eastAsia" w:ascii="Times New Roman" w:hAnsi="Times New Roman" w:cs="宋体"/>
                <w:color w:val="000000"/>
                <w:sz w:val="15"/>
                <w:szCs w:val="15"/>
              </w:rPr>
              <w:t>T</w:t>
            </w:r>
            <w:r>
              <w:rPr>
                <w:rFonts w:hint="eastAsia" w:ascii="Times New Roman" w:hAnsi="宋体" w:cs="宋体"/>
                <w:color w:val="000000"/>
                <w:sz w:val="15"/>
                <w:szCs w:val="15"/>
              </w:rPr>
              <w:t>细胞淋巴瘤（</w:t>
            </w:r>
            <w:r>
              <w:rPr>
                <w:rFonts w:hint="eastAsia" w:ascii="Times New Roman" w:hAnsi="Times New Roman" w:cs="宋体"/>
                <w:color w:val="000000"/>
                <w:sz w:val="15"/>
                <w:szCs w:val="15"/>
              </w:rPr>
              <w:t>PTCL</w:t>
            </w:r>
            <w:r>
              <w:rPr>
                <w:rFonts w:hint="eastAsia" w:ascii="Times New Roman" w:hAnsi="宋体" w:cs="宋体"/>
                <w:color w:val="000000"/>
                <w:sz w:val="15"/>
                <w:szCs w:val="15"/>
              </w:rPr>
              <w:t>）患者。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复发或难治外周</w:t>
            </w:r>
            <w:r>
              <w:rPr>
                <w:rFonts w:hint="eastAsia" w:ascii="Times New Roman" w:hAnsi="Times New Roman" w:cs="宋体"/>
                <w:color w:val="000000"/>
                <w:sz w:val="15"/>
                <w:szCs w:val="15"/>
              </w:rPr>
              <w:t>T</w:t>
            </w:r>
            <w:r>
              <w:rPr>
                <w:rFonts w:hint="eastAsia" w:ascii="Times New Roman" w:hAnsi="宋体" w:cs="宋体"/>
                <w:color w:val="000000"/>
                <w:sz w:val="15"/>
                <w:szCs w:val="15"/>
              </w:rPr>
              <w:t>细胞淋巴瘤（</w:t>
            </w:r>
            <w:r>
              <w:rPr>
                <w:rFonts w:hint="eastAsia" w:ascii="Times New Roman" w:hAnsi="Times New Roman" w:cs="宋体"/>
                <w:color w:val="000000"/>
                <w:sz w:val="15"/>
                <w:szCs w:val="15"/>
              </w:rPr>
              <w:t>PTCL</w:t>
            </w:r>
            <w:r>
              <w:rPr>
                <w:rFonts w:hint="eastAsia" w:ascii="Times New Roman" w:hAnsi="宋体" w:cs="宋体"/>
                <w:color w:val="000000"/>
                <w:sz w:val="15"/>
                <w:szCs w:val="15"/>
              </w:rPr>
              <w:t>）</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既往至少接受过一次全身化疗的复发或难治的病史资料。</w:t>
            </w:r>
          </w:p>
        </w:tc>
      </w:tr>
      <w:tr>
        <w:tblPrEx>
          <w:tblCellMar>
            <w:top w:w="0" w:type="dxa"/>
            <w:left w:w="108" w:type="dxa"/>
            <w:bottom w:w="0" w:type="dxa"/>
            <w:right w:w="108" w:type="dxa"/>
          </w:tblCellMar>
        </w:tblPrEx>
        <w:trPr>
          <w:trHeight w:val="56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49</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硫培非格司亭</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限前次化疗曾发生重度中性粒细胞减少合并发热的患者。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重度中性粒细胞减少症</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前次化疗的病史资料；</w:t>
            </w:r>
            <w:r>
              <w:rPr>
                <w:rFonts w:hint="eastAsia" w:ascii="Times New Roman" w:hAnsi="Times New Roman" w:cs="宋体"/>
                <w:color w:val="000000"/>
                <w:sz w:val="15"/>
                <w:szCs w:val="15"/>
              </w:rPr>
              <w:t>3.</w:t>
            </w:r>
            <w:r>
              <w:rPr>
                <w:rFonts w:hint="eastAsia" w:ascii="Times New Roman" w:hAnsi="宋体" w:cs="宋体"/>
                <w:color w:val="000000"/>
                <w:sz w:val="15"/>
                <w:szCs w:val="15"/>
              </w:rPr>
              <w:t>血常规；</w:t>
            </w:r>
            <w:r>
              <w:rPr>
                <w:rFonts w:hint="eastAsia" w:ascii="Times New Roman" w:hAnsi="Times New Roman" w:cs="宋体"/>
                <w:color w:val="000000"/>
                <w:sz w:val="15"/>
                <w:szCs w:val="15"/>
              </w:rPr>
              <w:t>4.</w:t>
            </w:r>
            <w:r>
              <w:rPr>
                <w:rFonts w:hint="eastAsia" w:ascii="Times New Roman" w:hAnsi="宋体" w:cs="宋体"/>
                <w:color w:val="000000"/>
                <w:sz w:val="15"/>
                <w:szCs w:val="15"/>
              </w:rPr>
              <w:t>发热的病历或体温记录资料。</w:t>
            </w:r>
          </w:p>
        </w:tc>
      </w:tr>
      <w:tr>
        <w:tblPrEx>
          <w:tblCellMar>
            <w:top w:w="0" w:type="dxa"/>
            <w:left w:w="108" w:type="dxa"/>
            <w:bottom w:w="0" w:type="dxa"/>
            <w:right w:w="108" w:type="dxa"/>
          </w:tblCellMar>
        </w:tblPrEx>
        <w:trPr>
          <w:trHeight w:val="1065"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50</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托法替布</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限诊断明确的类风湿关节炎经传统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 xml:space="preserve"> 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者，并需风湿病专科医师处方。</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类风湿性关节炎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类风湿因子阳性或抗环瓜氨酸抗体阳性或抗角蛋白抗体阳性；</w:t>
            </w:r>
            <w:r>
              <w:rPr>
                <w:rFonts w:hint="eastAsia" w:ascii="Times New Roman" w:hAnsi="Times New Roman" w:cs="宋体"/>
                <w:color w:val="000000"/>
                <w:sz w:val="15"/>
                <w:szCs w:val="15"/>
              </w:rPr>
              <w:t>3.</w:t>
            </w:r>
            <w:r>
              <w:rPr>
                <w:rFonts w:hint="eastAsia" w:ascii="Times New Roman" w:hAnsi="宋体" w:cs="宋体"/>
                <w:color w:val="000000"/>
                <w:sz w:val="15"/>
                <w:szCs w:val="15"/>
              </w:rPr>
              <w:t>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病史资料。</w:t>
            </w:r>
          </w:p>
        </w:tc>
      </w:tr>
      <w:tr>
        <w:tblPrEx>
          <w:tblCellMar>
            <w:top w:w="0" w:type="dxa"/>
            <w:left w:w="108" w:type="dxa"/>
            <w:bottom w:w="0" w:type="dxa"/>
            <w:right w:w="108" w:type="dxa"/>
          </w:tblCellMar>
        </w:tblPrEx>
        <w:trPr>
          <w:trHeight w:val="821"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51</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特立氟胺</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限常规治疗无效的多发性硬化患者。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多发性硬化</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影像学</w:t>
            </w:r>
            <w:r>
              <w:rPr>
                <w:rFonts w:hint="eastAsia" w:ascii="Times New Roman" w:hAnsi="Times New Roman" w:cs="宋体"/>
                <w:color w:val="000000"/>
                <w:sz w:val="15"/>
                <w:szCs w:val="15"/>
              </w:rPr>
              <w:t>(</w:t>
            </w:r>
            <w:r>
              <w:rPr>
                <w:rFonts w:hint="eastAsia" w:ascii="Times New Roman" w:hAnsi="宋体" w:cs="宋体"/>
                <w:color w:val="000000"/>
                <w:sz w:val="15"/>
                <w:szCs w:val="15"/>
              </w:rPr>
              <w:t>头颅或脊髓</w:t>
            </w:r>
            <w:r>
              <w:rPr>
                <w:rFonts w:hint="eastAsia" w:ascii="Times New Roman" w:hAnsi="Times New Roman" w:cs="宋体"/>
                <w:color w:val="000000"/>
                <w:sz w:val="15"/>
                <w:szCs w:val="15"/>
              </w:rPr>
              <w:t>MRI)</w:t>
            </w:r>
            <w:r>
              <w:rPr>
                <w:rFonts w:hint="eastAsia" w:ascii="Times New Roman" w:hAnsi="宋体" w:cs="宋体"/>
                <w:color w:val="000000"/>
                <w:sz w:val="15"/>
                <w:szCs w:val="15"/>
              </w:rPr>
              <w:t>；</w:t>
            </w:r>
            <w:r>
              <w:rPr>
                <w:rFonts w:hint="eastAsia" w:ascii="Times New Roman" w:hAnsi="Times New Roman" w:cs="宋体"/>
                <w:color w:val="000000"/>
                <w:sz w:val="15"/>
                <w:szCs w:val="15"/>
              </w:rPr>
              <w:t>3.VEP</w:t>
            </w:r>
            <w:r>
              <w:rPr>
                <w:rFonts w:hint="eastAsia" w:ascii="Times New Roman" w:hAnsi="宋体" w:cs="宋体"/>
                <w:color w:val="000000"/>
                <w:sz w:val="15"/>
                <w:szCs w:val="15"/>
              </w:rPr>
              <w:t>或</w:t>
            </w:r>
            <w:r>
              <w:rPr>
                <w:rFonts w:hint="eastAsia" w:ascii="Times New Roman" w:hAnsi="Times New Roman" w:cs="宋体"/>
                <w:color w:val="000000"/>
                <w:sz w:val="15"/>
                <w:szCs w:val="15"/>
              </w:rPr>
              <w:t>ABR</w:t>
            </w:r>
            <w:r>
              <w:rPr>
                <w:rFonts w:hint="eastAsia" w:ascii="Times New Roman" w:hAnsi="宋体" w:cs="宋体"/>
                <w:color w:val="000000"/>
                <w:sz w:val="15"/>
                <w:szCs w:val="15"/>
              </w:rPr>
              <w:t>或</w:t>
            </w:r>
            <w:r>
              <w:rPr>
                <w:rFonts w:hint="eastAsia" w:ascii="Times New Roman" w:hAnsi="Times New Roman" w:cs="宋体"/>
                <w:color w:val="000000"/>
                <w:sz w:val="15"/>
                <w:szCs w:val="15"/>
              </w:rPr>
              <w:t>SEP</w:t>
            </w:r>
            <w:r>
              <w:rPr>
                <w:rFonts w:hint="eastAsia" w:ascii="Times New Roman" w:hAnsi="宋体" w:cs="宋体"/>
                <w:color w:val="000000"/>
                <w:sz w:val="15"/>
                <w:szCs w:val="15"/>
              </w:rPr>
              <w:t>电生理检查报告或脑脊液检查报告；</w:t>
            </w:r>
            <w:r>
              <w:rPr>
                <w:rFonts w:hint="eastAsia" w:ascii="Times New Roman" w:hAnsi="Times New Roman" w:cs="宋体"/>
                <w:color w:val="000000"/>
                <w:sz w:val="15"/>
                <w:szCs w:val="15"/>
              </w:rPr>
              <w:t>4.</w:t>
            </w:r>
            <w:r>
              <w:rPr>
                <w:rFonts w:hint="eastAsia" w:ascii="Times New Roman" w:hAnsi="宋体" w:cs="宋体"/>
                <w:color w:val="000000"/>
                <w:sz w:val="15"/>
                <w:szCs w:val="15"/>
              </w:rPr>
              <w:t>常规治疗无效的病史资料。</w:t>
            </w:r>
          </w:p>
        </w:tc>
      </w:tr>
      <w:tr>
        <w:tblPrEx>
          <w:tblCellMar>
            <w:top w:w="0" w:type="dxa"/>
            <w:left w:w="108" w:type="dxa"/>
            <w:bottom w:w="0" w:type="dxa"/>
            <w:right w:w="108" w:type="dxa"/>
          </w:tblCellMar>
        </w:tblPrEx>
        <w:trPr>
          <w:trHeight w:val="879"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52</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依维莫司</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接受舒尼替尼或索拉非尼治疗失败的晚期肾细胞癌成人患者。</w:t>
            </w:r>
            <w:r>
              <w:rPr>
                <w:rFonts w:hint="eastAsia" w:ascii="Times New Roman" w:hAnsi="Times New Roman" w:cs="宋体"/>
                <w:color w:val="000000"/>
                <w:sz w:val="15"/>
                <w:szCs w:val="15"/>
              </w:rPr>
              <w:t>2.</w:t>
            </w:r>
            <w:r>
              <w:rPr>
                <w:rFonts w:hint="eastAsia" w:ascii="Times New Roman" w:hAnsi="宋体" w:cs="宋体"/>
                <w:color w:val="000000"/>
                <w:sz w:val="15"/>
                <w:szCs w:val="15"/>
              </w:rPr>
              <w:t>不可切除的、局部晚期或转移性的、分化良好的（中度分化或高度分化）进展期胰腺神经内分泌瘤成人患者。</w:t>
            </w:r>
            <w:r>
              <w:rPr>
                <w:rFonts w:hint="eastAsia" w:ascii="Times New Roman" w:hAnsi="Times New Roman" w:cs="宋体"/>
                <w:color w:val="000000"/>
                <w:sz w:val="15"/>
                <w:szCs w:val="15"/>
              </w:rPr>
              <w:t>3.</w:t>
            </w:r>
            <w:r>
              <w:rPr>
                <w:rFonts w:hint="eastAsia" w:ascii="Times New Roman" w:hAnsi="宋体" w:cs="宋体"/>
                <w:color w:val="000000"/>
                <w:sz w:val="15"/>
                <w:szCs w:val="15"/>
              </w:rPr>
              <w:t>无法手术切除的、局部晚期或转移性的、分化良好的、进展期非功能性胃肠道或肺源神经内分泌肿瘤患者。</w:t>
            </w:r>
            <w:r>
              <w:rPr>
                <w:rFonts w:hint="eastAsia" w:ascii="Times New Roman" w:hAnsi="Times New Roman" w:cs="宋体"/>
                <w:color w:val="000000"/>
                <w:sz w:val="15"/>
                <w:szCs w:val="15"/>
              </w:rPr>
              <w:t>4.</w:t>
            </w:r>
            <w:r>
              <w:rPr>
                <w:rFonts w:hint="eastAsia" w:ascii="Times New Roman" w:hAnsi="宋体" w:cs="宋体"/>
                <w:color w:val="000000"/>
                <w:sz w:val="15"/>
                <w:szCs w:val="15"/>
              </w:rPr>
              <w:t>不需立即手术治疗的结节性硬化症相关的肾血管平滑肌脂肪瘤（</w:t>
            </w:r>
            <w:r>
              <w:rPr>
                <w:rFonts w:hint="eastAsia" w:ascii="Times New Roman" w:hAnsi="Times New Roman" w:cs="宋体"/>
                <w:color w:val="000000"/>
                <w:sz w:val="15"/>
                <w:szCs w:val="15"/>
              </w:rPr>
              <w:t>TSC-AML)</w:t>
            </w:r>
            <w:r>
              <w:rPr>
                <w:rFonts w:hint="eastAsia" w:ascii="Times New Roman" w:hAnsi="宋体" w:cs="宋体"/>
                <w:color w:val="000000"/>
                <w:sz w:val="15"/>
                <w:szCs w:val="15"/>
              </w:rPr>
              <w:t>成人患者。</w:t>
            </w:r>
            <w:r>
              <w:rPr>
                <w:rFonts w:hint="eastAsia" w:ascii="Times New Roman" w:hAnsi="Times New Roman" w:cs="宋体"/>
                <w:color w:val="000000"/>
                <w:sz w:val="15"/>
                <w:szCs w:val="15"/>
              </w:rPr>
              <w:t>5.</w:t>
            </w:r>
            <w:r>
              <w:rPr>
                <w:rFonts w:hint="eastAsia" w:ascii="Times New Roman" w:hAnsi="宋体" w:cs="宋体"/>
                <w:color w:val="000000"/>
                <w:sz w:val="15"/>
                <w:szCs w:val="15"/>
              </w:rPr>
              <w:t>不能手术的结节性硬化症相关的室管膜下巨细胞星型细胞瘤的患者。</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肾细胞癌</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既往接受舒尼替尼或索拉非尼治疗失败的病史资料；</w:t>
            </w:r>
            <w:r>
              <w:rPr>
                <w:rFonts w:hint="eastAsia" w:ascii="Times New Roman" w:hAnsi="Times New Roman" w:cs="宋体"/>
                <w:color w:val="000000"/>
                <w:sz w:val="15"/>
                <w:szCs w:val="15"/>
              </w:rPr>
              <w:t>4.</w:t>
            </w:r>
            <w:r>
              <w:rPr>
                <w:rFonts w:hint="eastAsia" w:ascii="Times New Roman" w:hAnsi="宋体" w:cs="宋体"/>
                <w:color w:val="000000"/>
                <w:sz w:val="15"/>
                <w:szCs w:val="15"/>
              </w:rPr>
              <w:t>证明为晚期的影像学或病理学检查报告。</w:t>
            </w:r>
          </w:p>
        </w:tc>
      </w:tr>
      <w:tr>
        <w:tblPrEx>
          <w:tblCellMar>
            <w:top w:w="0" w:type="dxa"/>
            <w:left w:w="108" w:type="dxa"/>
            <w:bottom w:w="0" w:type="dxa"/>
            <w:right w:w="108" w:type="dxa"/>
          </w:tblCellMar>
        </w:tblPrEx>
        <w:trPr>
          <w:trHeight w:val="978"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胰腺神经内分泌瘤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病理学检查；</w:t>
            </w:r>
            <w:r>
              <w:rPr>
                <w:rFonts w:hint="eastAsia" w:ascii="Times New Roman" w:hAnsi="Times New Roman" w:cs="宋体"/>
                <w:color w:val="000000"/>
                <w:sz w:val="15"/>
                <w:szCs w:val="15"/>
              </w:rPr>
              <w:t>3.</w:t>
            </w:r>
            <w:r>
              <w:rPr>
                <w:rFonts w:hint="eastAsia" w:ascii="Times New Roman" w:hAnsi="宋体" w:cs="宋体"/>
                <w:color w:val="000000"/>
                <w:sz w:val="15"/>
                <w:szCs w:val="15"/>
              </w:rPr>
              <w:t>不可切除的：需提供病史资料；局部晚期或转移性的：需提供影像学或病理学检查报告；进展期需提供疾病进展期病历资料。</w:t>
            </w:r>
          </w:p>
        </w:tc>
      </w:tr>
      <w:tr>
        <w:tblPrEx>
          <w:tblCellMar>
            <w:top w:w="0" w:type="dxa"/>
            <w:left w:w="108" w:type="dxa"/>
            <w:bottom w:w="0" w:type="dxa"/>
            <w:right w:w="108" w:type="dxa"/>
          </w:tblCellMar>
        </w:tblPrEx>
        <w:trPr>
          <w:trHeight w:val="909"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胃肠道或肺源神经内分泌肿瘤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无法手术切除的：需提供病史资料；局部晚期或转移性的、分化良好的：需提供影像学或病理学检查报告；进展期需提供疾病进展期病历资料。</w:t>
            </w:r>
          </w:p>
        </w:tc>
      </w:tr>
      <w:tr>
        <w:tblPrEx>
          <w:tblCellMar>
            <w:top w:w="0" w:type="dxa"/>
            <w:left w:w="108" w:type="dxa"/>
            <w:bottom w:w="0" w:type="dxa"/>
            <w:right w:w="108" w:type="dxa"/>
          </w:tblCellMar>
        </w:tblPrEx>
        <w:trPr>
          <w:trHeight w:val="814"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肾血管平滑肌脂肪瘤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w:t>
            </w:r>
            <w:r>
              <w:rPr>
                <w:rFonts w:hint="eastAsia" w:ascii="Times New Roman" w:hAnsi="宋体" w:cs="宋体"/>
                <w:color w:val="000000"/>
                <w:sz w:val="15"/>
                <w:szCs w:val="15"/>
              </w:rPr>
              <w:t>无需立即手术的病史资料。</w:t>
            </w:r>
          </w:p>
        </w:tc>
      </w:tr>
      <w:tr>
        <w:tblPrEx>
          <w:tblCellMar>
            <w:top w:w="0" w:type="dxa"/>
            <w:left w:w="108" w:type="dxa"/>
            <w:bottom w:w="0" w:type="dxa"/>
            <w:right w:w="108" w:type="dxa"/>
          </w:tblCellMar>
        </w:tblPrEx>
        <w:trPr>
          <w:trHeight w:val="75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巨细胞星型细胞瘤</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病理学或影像学检查；</w:t>
            </w:r>
            <w:r>
              <w:rPr>
                <w:rFonts w:hint="eastAsia" w:ascii="Times New Roman" w:hAnsi="Times New Roman" w:cs="宋体"/>
                <w:color w:val="000000"/>
                <w:sz w:val="15"/>
                <w:szCs w:val="15"/>
              </w:rPr>
              <w:t>3.</w:t>
            </w:r>
            <w:r>
              <w:rPr>
                <w:rFonts w:hint="eastAsia" w:ascii="Times New Roman" w:hAnsi="宋体" w:cs="宋体"/>
                <w:color w:val="000000"/>
                <w:sz w:val="15"/>
                <w:szCs w:val="15"/>
              </w:rPr>
              <w:t>不能手术的病史资料。</w:t>
            </w:r>
          </w:p>
        </w:tc>
      </w:tr>
      <w:tr>
        <w:tblPrEx>
          <w:tblCellMar>
            <w:top w:w="0" w:type="dxa"/>
            <w:left w:w="108" w:type="dxa"/>
            <w:bottom w:w="0" w:type="dxa"/>
            <w:right w:w="108" w:type="dxa"/>
          </w:tblCellMar>
        </w:tblPrEx>
        <w:trPr>
          <w:trHeight w:val="1590"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53</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阿达木单抗</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诊断明确的类风湿关节炎经传统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者；诊断明确的强直性脊柱炎（不含放射学前期中轴性脊柱关节炎）</w:t>
            </w:r>
            <w:r>
              <w:rPr>
                <w:rFonts w:hint="eastAsia" w:ascii="Times New Roman" w:hAnsi="Times New Roman" w:cs="宋体"/>
                <w:color w:val="000000"/>
                <w:sz w:val="15"/>
                <w:szCs w:val="15"/>
              </w:rPr>
              <w:t>NSAIDs</w:t>
            </w:r>
            <w:r>
              <w:rPr>
                <w:rFonts w:hint="eastAsia" w:ascii="Times New Roman" w:hAnsi="宋体" w:cs="宋体"/>
                <w:color w:val="000000"/>
                <w:sz w:val="15"/>
                <w:szCs w:val="15"/>
              </w:rPr>
              <w:t>充分治疗</w:t>
            </w:r>
            <w:r>
              <w:rPr>
                <w:rFonts w:hint="eastAsia" w:ascii="Times New Roman" w:hAnsi="Times New Roman" w:cs="宋体"/>
                <w:color w:val="000000"/>
                <w:sz w:val="15"/>
                <w:szCs w:val="15"/>
              </w:rPr>
              <w:t>3</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者；并需风湿病专科医师处方。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对系统性治疗无效、禁忌或不耐受的中重度斑块状银屑病患者，需按说明书用药。</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类风湿性关节炎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类风湿因子阳性或抗环瓜氨酸抗体阳性或抗角蛋白抗体阳性；</w:t>
            </w:r>
            <w:r>
              <w:rPr>
                <w:rFonts w:hint="eastAsia" w:ascii="Times New Roman" w:hAnsi="Times New Roman" w:cs="宋体"/>
                <w:color w:val="000000"/>
                <w:sz w:val="15"/>
                <w:szCs w:val="15"/>
              </w:rPr>
              <w:t>3.</w:t>
            </w:r>
            <w:r>
              <w:rPr>
                <w:rFonts w:hint="eastAsia" w:ascii="Times New Roman" w:hAnsi="宋体" w:cs="宋体"/>
                <w:color w:val="000000"/>
                <w:sz w:val="15"/>
                <w:szCs w:val="15"/>
              </w:rPr>
              <w:t>手和腕后前位的</w:t>
            </w:r>
            <w:r>
              <w:rPr>
                <w:rFonts w:hint="eastAsia" w:ascii="Times New Roman" w:hAnsi="Times New Roman" w:cs="宋体"/>
                <w:color w:val="000000"/>
                <w:sz w:val="15"/>
                <w:szCs w:val="15"/>
              </w:rPr>
              <w:t>X</w:t>
            </w:r>
            <w:r>
              <w:rPr>
                <w:rFonts w:hint="eastAsia" w:ascii="Times New Roman" w:hAnsi="宋体" w:cs="宋体"/>
                <w:color w:val="000000"/>
                <w:sz w:val="15"/>
                <w:szCs w:val="15"/>
              </w:rPr>
              <w:t>片或</w:t>
            </w:r>
            <w:r>
              <w:rPr>
                <w:rFonts w:hint="eastAsia" w:ascii="Times New Roman" w:hAnsi="Times New Roman" w:cs="宋体"/>
                <w:color w:val="000000"/>
                <w:sz w:val="15"/>
                <w:szCs w:val="15"/>
              </w:rPr>
              <w:t>CT</w:t>
            </w:r>
            <w:r>
              <w:rPr>
                <w:rFonts w:hint="eastAsia" w:ascii="Times New Roman" w:hAnsi="宋体" w:cs="宋体"/>
                <w:color w:val="000000"/>
                <w:sz w:val="15"/>
                <w:szCs w:val="15"/>
              </w:rPr>
              <w:t>或</w:t>
            </w:r>
            <w:r>
              <w:rPr>
                <w:rFonts w:hint="eastAsia" w:ascii="Times New Roman" w:hAnsi="Times New Roman" w:cs="宋体"/>
                <w:color w:val="000000"/>
                <w:sz w:val="15"/>
                <w:szCs w:val="15"/>
              </w:rPr>
              <w:t>MRI</w:t>
            </w:r>
            <w:r>
              <w:rPr>
                <w:rFonts w:hint="eastAsia" w:ascii="Times New Roman" w:hAnsi="宋体" w:cs="宋体"/>
                <w:color w:val="000000"/>
                <w:sz w:val="15"/>
                <w:szCs w:val="15"/>
              </w:rPr>
              <w:t>显示骨质侵蚀或明确的骨质疏松；</w:t>
            </w:r>
            <w:r>
              <w:rPr>
                <w:rFonts w:hint="eastAsia" w:ascii="Times New Roman" w:hAnsi="Times New Roman" w:cs="宋体"/>
                <w:color w:val="000000"/>
                <w:sz w:val="15"/>
                <w:szCs w:val="15"/>
              </w:rPr>
              <w:t>4.</w:t>
            </w:r>
            <w:r>
              <w:rPr>
                <w:rFonts w:hint="eastAsia" w:ascii="Times New Roman" w:hAnsi="宋体" w:cs="宋体"/>
                <w:color w:val="000000"/>
                <w:sz w:val="15"/>
                <w:szCs w:val="15"/>
              </w:rPr>
              <w:t>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病史资料。</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强直性脊柱炎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影像学检查；</w:t>
            </w:r>
            <w:r>
              <w:rPr>
                <w:rFonts w:hint="eastAsia" w:ascii="Times New Roman" w:hAnsi="Times New Roman" w:cs="宋体"/>
                <w:color w:val="000000"/>
                <w:sz w:val="15"/>
                <w:szCs w:val="15"/>
              </w:rPr>
              <w:t>3.NSAIDs</w:t>
            </w:r>
            <w:r>
              <w:rPr>
                <w:rFonts w:hint="eastAsia" w:ascii="Times New Roman" w:hAnsi="宋体" w:cs="宋体"/>
                <w:color w:val="000000"/>
                <w:sz w:val="15"/>
                <w:szCs w:val="15"/>
              </w:rPr>
              <w:t>充分治疗</w:t>
            </w:r>
            <w:r>
              <w:rPr>
                <w:rFonts w:hint="eastAsia" w:ascii="Times New Roman" w:hAnsi="Times New Roman" w:cs="宋体"/>
                <w:color w:val="000000"/>
                <w:sz w:val="15"/>
                <w:szCs w:val="15"/>
              </w:rPr>
              <w:t>3</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病史资料。</w:t>
            </w:r>
          </w:p>
        </w:tc>
      </w:tr>
      <w:tr>
        <w:tblPrEx>
          <w:tblCellMar>
            <w:top w:w="0" w:type="dxa"/>
            <w:left w:w="108" w:type="dxa"/>
            <w:bottom w:w="0" w:type="dxa"/>
            <w:right w:w="108" w:type="dxa"/>
          </w:tblCellMar>
        </w:tblPrEx>
        <w:trPr>
          <w:trHeight w:val="106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斑块状银屑病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临床表现；</w:t>
            </w:r>
            <w:r>
              <w:rPr>
                <w:rFonts w:hint="eastAsia" w:ascii="Times New Roman" w:hAnsi="Times New Roman" w:cs="宋体"/>
                <w:color w:val="000000"/>
                <w:sz w:val="15"/>
                <w:szCs w:val="15"/>
              </w:rPr>
              <w:t>3.</w:t>
            </w:r>
            <w:r>
              <w:rPr>
                <w:rFonts w:hint="eastAsia" w:ascii="Times New Roman" w:hAnsi="宋体" w:cs="宋体"/>
                <w:color w:val="000000"/>
                <w:sz w:val="15"/>
                <w:szCs w:val="15"/>
              </w:rPr>
              <w:t>对环孢霉素、甲氨蝶呤、光化学疗法或其他系统治疗无效、禁忌或不耐受的慢性中重度斑块型银屑病病史资料。</w:t>
            </w:r>
          </w:p>
        </w:tc>
      </w:tr>
      <w:tr>
        <w:tblPrEx>
          <w:tblCellMar>
            <w:top w:w="0" w:type="dxa"/>
            <w:left w:w="108" w:type="dxa"/>
            <w:bottom w:w="0" w:type="dxa"/>
            <w:right w:w="108" w:type="dxa"/>
          </w:tblCellMar>
        </w:tblPrEx>
        <w:trPr>
          <w:trHeight w:val="1442"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54</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英夫利西单抗</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限以下情况方可支付：</w:t>
            </w:r>
            <w:r>
              <w:rPr>
                <w:rFonts w:hint="eastAsia" w:ascii="Times New Roman" w:hAnsi="Times New Roman" w:cs="宋体"/>
                <w:color w:val="000000"/>
                <w:sz w:val="15"/>
                <w:szCs w:val="15"/>
              </w:rPr>
              <w:t>1.</w:t>
            </w:r>
            <w:r>
              <w:rPr>
                <w:rFonts w:hint="eastAsia" w:ascii="Times New Roman" w:hAnsi="宋体" w:cs="宋体"/>
                <w:color w:val="000000"/>
                <w:sz w:val="15"/>
                <w:szCs w:val="15"/>
              </w:rPr>
              <w:t>诊断明确的类风湿关节炎经传统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者；诊断明确的强直性脊柱炎（不含放射学前期中轴性脊柱关节炎）</w:t>
            </w:r>
            <w:r>
              <w:rPr>
                <w:rFonts w:hint="eastAsia" w:ascii="Times New Roman" w:hAnsi="Times New Roman" w:cs="宋体"/>
                <w:color w:val="000000"/>
                <w:sz w:val="15"/>
                <w:szCs w:val="15"/>
              </w:rPr>
              <w:t>NSAIDs</w:t>
            </w:r>
            <w:r>
              <w:rPr>
                <w:rFonts w:hint="eastAsia" w:ascii="Times New Roman" w:hAnsi="宋体" w:cs="宋体"/>
                <w:color w:val="000000"/>
                <w:sz w:val="15"/>
                <w:szCs w:val="15"/>
              </w:rPr>
              <w:t>充分治疗</w:t>
            </w:r>
            <w:r>
              <w:rPr>
                <w:rFonts w:hint="eastAsia" w:ascii="Times New Roman" w:hAnsi="Times New Roman" w:cs="宋体"/>
                <w:color w:val="000000"/>
                <w:sz w:val="15"/>
                <w:szCs w:val="15"/>
              </w:rPr>
              <w:t>3</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者；并需风湿病专科医师处方。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对系统性治疗无效、禁忌或不耐受的重度斑块状银屑病患者，需按说明书用药。</w:t>
            </w:r>
            <w:r>
              <w:rPr>
                <w:rFonts w:hint="eastAsia" w:ascii="Times New Roman" w:hAnsi="Times New Roman" w:cs="宋体"/>
                <w:color w:val="000000"/>
                <w:sz w:val="15"/>
                <w:szCs w:val="15"/>
              </w:rPr>
              <w:t>3.</w:t>
            </w:r>
            <w:r>
              <w:rPr>
                <w:rFonts w:hint="eastAsia" w:ascii="Times New Roman" w:hAnsi="宋体" w:cs="宋体"/>
                <w:color w:val="000000"/>
                <w:sz w:val="15"/>
                <w:szCs w:val="15"/>
              </w:rPr>
              <w:t>克罗恩病患者的二线治疗。</w:t>
            </w:r>
            <w:r>
              <w:rPr>
                <w:rFonts w:hint="eastAsia" w:ascii="Times New Roman" w:hAnsi="Times New Roman" w:cs="宋体"/>
                <w:color w:val="000000"/>
                <w:sz w:val="15"/>
                <w:szCs w:val="15"/>
              </w:rPr>
              <w:t>4.</w:t>
            </w:r>
            <w:r>
              <w:rPr>
                <w:rFonts w:hint="eastAsia" w:ascii="Times New Roman" w:hAnsi="宋体" w:cs="宋体"/>
                <w:color w:val="000000"/>
                <w:sz w:val="15"/>
                <w:szCs w:val="15"/>
              </w:rPr>
              <w:t>中重度溃疡性结肠炎患者的二线治疗。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类风湿性关节炎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类风湿因子阳性或抗环瓜氨酸抗体阳性或抗角蛋白抗体阳性；</w:t>
            </w:r>
            <w:r>
              <w:rPr>
                <w:rFonts w:hint="eastAsia" w:ascii="Times New Roman" w:hAnsi="Times New Roman" w:cs="宋体"/>
                <w:color w:val="000000"/>
                <w:sz w:val="15"/>
                <w:szCs w:val="15"/>
              </w:rPr>
              <w:t>3.</w:t>
            </w:r>
            <w:r>
              <w:rPr>
                <w:rFonts w:hint="eastAsia" w:ascii="Times New Roman" w:hAnsi="宋体" w:cs="宋体"/>
                <w:color w:val="000000"/>
                <w:sz w:val="15"/>
                <w:szCs w:val="15"/>
              </w:rPr>
              <w:t>传统</w:t>
            </w:r>
            <w:r>
              <w:rPr>
                <w:rFonts w:hint="eastAsia" w:ascii="Times New Roman" w:hAnsi="Times New Roman" w:cs="宋体"/>
                <w:color w:val="000000"/>
                <w:sz w:val="15"/>
                <w:szCs w:val="15"/>
              </w:rPr>
              <w:t>DMARDs</w:t>
            </w:r>
            <w:r>
              <w:rPr>
                <w:rFonts w:hint="eastAsia" w:ascii="Times New Roman" w:hAnsi="宋体" w:cs="宋体"/>
                <w:color w:val="000000"/>
                <w:sz w:val="15"/>
                <w:szCs w:val="15"/>
              </w:rPr>
              <w:t>治疗</w:t>
            </w:r>
            <w:r>
              <w:rPr>
                <w:rFonts w:hint="eastAsia" w:ascii="Times New Roman" w:hAnsi="Times New Roman" w:cs="宋体"/>
                <w:color w:val="000000"/>
                <w:sz w:val="15"/>
                <w:szCs w:val="15"/>
              </w:rPr>
              <w:t>3-6</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病史资料。</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强直性脊柱炎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影像学检查；</w:t>
            </w:r>
            <w:r>
              <w:rPr>
                <w:rFonts w:hint="eastAsia" w:ascii="Times New Roman" w:hAnsi="Times New Roman" w:cs="宋体"/>
                <w:color w:val="000000"/>
                <w:sz w:val="15"/>
                <w:szCs w:val="15"/>
              </w:rPr>
              <w:t>3.NSAIDs</w:t>
            </w:r>
            <w:r>
              <w:rPr>
                <w:rFonts w:hint="eastAsia" w:ascii="Times New Roman" w:hAnsi="宋体" w:cs="宋体"/>
                <w:color w:val="000000"/>
                <w:sz w:val="15"/>
                <w:szCs w:val="15"/>
              </w:rPr>
              <w:t>充分治疗</w:t>
            </w:r>
            <w:r>
              <w:rPr>
                <w:rFonts w:hint="eastAsia" w:ascii="Times New Roman" w:hAnsi="Times New Roman" w:cs="宋体"/>
                <w:color w:val="000000"/>
                <w:sz w:val="15"/>
                <w:szCs w:val="15"/>
              </w:rPr>
              <w:t>3</w:t>
            </w:r>
            <w:r>
              <w:rPr>
                <w:rFonts w:hint="eastAsia" w:ascii="Times New Roman" w:hAnsi="宋体" w:cs="宋体"/>
                <w:color w:val="000000"/>
                <w:sz w:val="15"/>
                <w:szCs w:val="15"/>
              </w:rPr>
              <w:t>个月疾病活动度下降低于</w:t>
            </w:r>
            <w:r>
              <w:rPr>
                <w:rFonts w:hint="eastAsia" w:ascii="Times New Roman" w:hAnsi="Times New Roman" w:cs="宋体"/>
                <w:color w:val="000000"/>
                <w:sz w:val="15"/>
                <w:szCs w:val="15"/>
              </w:rPr>
              <w:t>50%</w:t>
            </w:r>
            <w:r>
              <w:rPr>
                <w:rFonts w:hint="eastAsia" w:ascii="Times New Roman" w:hAnsi="宋体" w:cs="宋体"/>
                <w:color w:val="000000"/>
                <w:sz w:val="15"/>
                <w:szCs w:val="15"/>
              </w:rPr>
              <w:t>病史资料。</w:t>
            </w:r>
          </w:p>
        </w:tc>
      </w:tr>
      <w:tr>
        <w:tblPrEx>
          <w:tblCellMar>
            <w:top w:w="0" w:type="dxa"/>
            <w:left w:w="108" w:type="dxa"/>
            <w:bottom w:w="0" w:type="dxa"/>
            <w:right w:w="108" w:type="dxa"/>
          </w:tblCellMar>
        </w:tblPrEx>
        <w:trPr>
          <w:trHeight w:val="1067"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斑块状银屑病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临床表现；</w:t>
            </w:r>
            <w:r>
              <w:rPr>
                <w:rFonts w:hint="eastAsia" w:ascii="Times New Roman" w:hAnsi="Times New Roman" w:cs="宋体"/>
                <w:color w:val="000000"/>
                <w:sz w:val="15"/>
                <w:szCs w:val="15"/>
              </w:rPr>
              <w:t>3.</w:t>
            </w:r>
            <w:r>
              <w:rPr>
                <w:rFonts w:hint="eastAsia" w:ascii="Times New Roman" w:hAnsi="宋体" w:cs="宋体"/>
                <w:color w:val="000000"/>
                <w:sz w:val="15"/>
                <w:szCs w:val="15"/>
              </w:rPr>
              <w:t>对环孢霉素、甲氨蝶呤、光化学疗法或其他系统治疗无效、禁忌或不耐受的慢性重度斑块型银屑病病史资料。</w:t>
            </w:r>
          </w:p>
        </w:tc>
      </w:tr>
      <w:tr>
        <w:tblPrEx>
          <w:tblCellMar>
            <w:top w:w="0" w:type="dxa"/>
            <w:left w:w="108" w:type="dxa"/>
            <w:bottom w:w="0" w:type="dxa"/>
            <w:right w:w="108" w:type="dxa"/>
          </w:tblCellMar>
        </w:tblPrEx>
        <w:trPr>
          <w:trHeight w:val="1263"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克罗恩病</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spacing w:line="340" w:lineRule="exact"/>
              <w:rPr>
                <w:rFonts w:ascii="Times New Roman" w:hAnsi="Times New Roman" w:cs="宋体"/>
                <w:color w:val="000000"/>
                <w:sz w:val="15"/>
                <w:szCs w:val="15"/>
              </w:rPr>
            </w:pPr>
            <w:r>
              <w:rPr>
                <w:rFonts w:hint="eastAsia" w:ascii="Times New Roman" w:hAnsi="宋体" w:cs="宋体"/>
                <w:color w:val="000000"/>
                <w:sz w:val="15"/>
                <w:szCs w:val="15"/>
              </w:rPr>
              <w:t>病情证明书；</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2.</w:t>
            </w:r>
            <w:r>
              <w:rPr>
                <w:rFonts w:hint="eastAsia" w:ascii="Times New Roman" w:hAnsi="宋体" w:cs="宋体"/>
                <w:color w:val="000000"/>
                <w:sz w:val="15"/>
                <w:szCs w:val="15"/>
              </w:rPr>
              <w:t>影像学或内镜检查检查报告；</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3.</w:t>
            </w:r>
            <w:r>
              <w:rPr>
                <w:rFonts w:hint="eastAsia" w:ascii="Times New Roman" w:hAnsi="宋体" w:cs="宋体"/>
                <w:color w:val="000000"/>
                <w:sz w:val="15"/>
                <w:szCs w:val="15"/>
              </w:rPr>
              <w:t>病理学检查报告；</w:t>
            </w:r>
          </w:p>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4.</w:t>
            </w:r>
            <w:r>
              <w:rPr>
                <w:rFonts w:hint="eastAsia" w:ascii="Times New Roman" w:hAnsi="宋体" w:cs="宋体"/>
                <w:color w:val="000000"/>
                <w:sz w:val="15"/>
                <w:szCs w:val="15"/>
              </w:rPr>
              <w:t>经传统治疗（糖皮质激素或免疫抑制剂）无效或不能耐受的病史资料</w:t>
            </w:r>
            <w:r>
              <w:rPr>
                <w:rFonts w:hint="eastAsia" w:ascii="Times New Roman" w:hAnsi="Times New Roman" w:cs="宋体"/>
                <w:color w:val="000000"/>
                <w:sz w:val="15"/>
                <w:szCs w:val="15"/>
              </w:rPr>
              <w:br w:type="textWrapping"/>
            </w:r>
          </w:p>
        </w:tc>
      </w:tr>
      <w:tr>
        <w:tblPrEx>
          <w:tblCellMar>
            <w:top w:w="0" w:type="dxa"/>
            <w:left w:w="108" w:type="dxa"/>
            <w:bottom w:w="0" w:type="dxa"/>
            <w:right w:w="108" w:type="dxa"/>
          </w:tblCellMar>
        </w:tblPrEx>
        <w:trPr>
          <w:trHeight w:val="485"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溃疡性结肠炎</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影像学检查报告；</w:t>
            </w:r>
            <w:r>
              <w:rPr>
                <w:rFonts w:hint="eastAsia" w:ascii="Times New Roman" w:hAnsi="Times New Roman" w:cs="宋体"/>
                <w:color w:val="000000"/>
                <w:sz w:val="15"/>
                <w:szCs w:val="15"/>
              </w:rPr>
              <w:t>3.sutherland</w:t>
            </w:r>
            <w:r>
              <w:rPr>
                <w:rFonts w:hint="eastAsia" w:ascii="Times New Roman" w:hAnsi="宋体" w:cs="宋体"/>
                <w:color w:val="000000"/>
                <w:sz w:val="15"/>
                <w:szCs w:val="15"/>
              </w:rPr>
              <w:t>疾病活动指数提示中、重度活动；</w:t>
            </w:r>
            <w:r>
              <w:rPr>
                <w:rFonts w:hint="eastAsia" w:ascii="Times New Roman" w:hAnsi="Times New Roman" w:cs="宋体"/>
                <w:color w:val="000000"/>
                <w:sz w:val="15"/>
                <w:szCs w:val="15"/>
              </w:rPr>
              <w:t>4.</w:t>
            </w:r>
            <w:r>
              <w:rPr>
                <w:rFonts w:hint="eastAsia" w:ascii="Times New Roman" w:hAnsi="宋体" w:cs="宋体"/>
                <w:color w:val="000000"/>
                <w:sz w:val="15"/>
                <w:szCs w:val="15"/>
              </w:rPr>
              <w:t>一线治疗的病史资料。</w:t>
            </w:r>
          </w:p>
        </w:tc>
      </w:tr>
      <w:tr>
        <w:tblPrEx>
          <w:tblCellMar>
            <w:top w:w="0" w:type="dxa"/>
            <w:left w:w="108" w:type="dxa"/>
            <w:bottom w:w="0" w:type="dxa"/>
            <w:right w:w="108" w:type="dxa"/>
          </w:tblCellMar>
        </w:tblPrEx>
        <w:trPr>
          <w:trHeight w:val="1116"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55</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奥马珠单抗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限经吸入型糖皮质激素和长效吸入型</w:t>
            </w:r>
            <w:r>
              <w:rPr>
                <w:rFonts w:hint="eastAsia" w:ascii="Times New Roman" w:hAnsi="Times New Roman" w:cs="宋体"/>
                <w:color w:val="000000"/>
                <w:sz w:val="15"/>
                <w:szCs w:val="15"/>
              </w:rPr>
              <w:t>β2-</w:t>
            </w:r>
            <w:r>
              <w:rPr>
                <w:rFonts w:hint="eastAsia" w:ascii="Times New Roman" w:hAnsi="宋体" w:cs="宋体"/>
                <w:color w:val="000000"/>
                <w:sz w:val="15"/>
                <w:szCs w:val="15"/>
              </w:rPr>
              <w:t>肾上腺素受体激动剂治疗后，仍不能有效控制症状的中至重度持续性过敏性哮喘患者，并需</w:t>
            </w:r>
            <w:r>
              <w:rPr>
                <w:rFonts w:hint="eastAsia" w:ascii="Times New Roman" w:hAnsi="Times New Roman" w:cs="宋体"/>
                <w:color w:val="000000"/>
                <w:sz w:val="15"/>
                <w:szCs w:val="15"/>
              </w:rPr>
              <w:t>IgE</w:t>
            </w:r>
            <w:r>
              <w:rPr>
                <w:rFonts w:hint="eastAsia" w:ascii="Times New Roman" w:hAnsi="宋体" w:cs="宋体"/>
                <w:color w:val="000000"/>
                <w:sz w:val="15"/>
                <w:szCs w:val="15"/>
              </w:rPr>
              <w:t>（免疫球蛋白</w:t>
            </w:r>
            <w:r>
              <w:rPr>
                <w:rFonts w:hint="eastAsia" w:ascii="Times New Roman" w:hAnsi="Times New Roman" w:cs="宋体"/>
                <w:color w:val="000000"/>
                <w:sz w:val="15"/>
                <w:szCs w:val="15"/>
              </w:rPr>
              <w:t>E</w:t>
            </w:r>
            <w:r>
              <w:rPr>
                <w:rFonts w:hint="eastAsia" w:ascii="Times New Roman" w:hAnsi="宋体" w:cs="宋体"/>
                <w:color w:val="000000"/>
                <w:sz w:val="15"/>
                <w:szCs w:val="15"/>
              </w:rPr>
              <w:t>）介导确诊证据。</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过敏性哮喘</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2.IgE</w:t>
            </w:r>
            <w:r>
              <w:rPr>
                <w:rFonts w:hint="eastAsia" w:ascii="Times New Roman" w:hAnsi="宋体" w:cs="宋体"/>
                <w:color w:val="000000"/>
                <w:sz w:val="15"/>
                <w:szCs w:val="15"/>
              </w:rPr>
              <w:t>检测报告；</w:t>
            </w:r>
            <w:r>
              <w:rPr>
                <w:rFonts w:hint="eastAsia" w:ascii="Times New Roman" w:hAnsi="Times New Roman" w:cs="宋体"/>
                <w:color w:val="000000"/>
                <w:sz w:val="15"/>
                <w:szCs w:val="15"/>
              </w:rPr>
              <w:t>3.</w:t>
            </w:r>
            <w:r>
              <w:rPr>
                <w:rFonts w:hint="eastAsia" w:ascii="Times New Roman" w:hAnsi="宋体" w:cs="宋体"/>
                <w:color w:val="000000"/>
                <w:sz w:val="15"/>
                <w:szCs w:val="15"/>
              </w:rPr>
              <w:t>经中到大剂量吸入型糖皮质激素和长效吸入型</w:t>
            </w:r>
            <w:r>
              <w:rPr>
                <w:rFonts w:hint="eastAsia" w:ascii="Times New Roman" w:hAnsi="Times New Roman" w:cs="宋体"/>
                <w:color w:val="000000"/>
                <w:sz w:val="15"/>
                <w:szCs w:val="15"/>
              </w:rPr>
              <w:t>β2-</w:t>
            </w:r>
            <w:r>
              <w:rPr>
                <w:rFonts w:hint="eastAsia" w:ascii="Times New Roman" w:hAnsi="宋体" w:cs="宋体"/>
                <w:color w:val="000000"/>
                <w:sz w:val="15"/>
                <w:szCs w:val="15"/>
              </w:rPr>
              <w:t>肾上腺素受体激动剂治疗后仍不能有效控制症状病史资料；</w:t>
            </w:r>
            <w:r>
              <w:rPr>
                <w:rFonts w:hint="eastAsia" w:ascii="Times New Roman" w:hAnsi="Times New Roman" w:cs="宋体"/>
                <w:color w:val="000000"/>
                <w:sz w:val="15"/>
                <w:szCs w:val="15"/>
              </w:rPr>
              <w:t>4.</w:t>
            </w:r>
            <w:r>
              <w:rPr>
                <w:rFonts w:hint="eastAsia" w:ascii="Times New Roman" w:hAnsi="宋体" w:cs="宋体"/>
                <w:color w:val="000000"/>
                <w:sz w:val="15"/>
                <w:szCs w:val="15"/>
              </w:rPr>
              <w:t>中至重度持续性过敏性哮喘的病史资料。</w:t>
            </w:r>
          </w:p>
        </w:tc>
      </w:tr>
      <w:tr>
        <w:tblPrEx>
          <w:tblCellMar>
            <w:top w:w="0" w:type="dxa"/>
            <w:left w:w="108" w:type="dxa"/>
            <w:bottom w:w="0" w:type="dxa"/>
            <w:right w:w="108" w:type="dxa"/>
          </w:tblCellMar>
        </w:tblPrEx>
        <w:trPr>
          <w:trHeight w:val="566"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56</w:t>
            </w:r>
          </w:p>
        </w:tc>
        <w:tc>
          <w:tcPr>
            <w:tcW w:w="185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他氟前列素</w:t>
            </w:r>
          </w:p>
        </w:tc>
        <w:tc>
          <w:tcPr>
            <w:tcW w:w="15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滴眼剂</w:t>
            </w:r>
          </w:p>
        </w:tc>
        <w:tc>
          <w:tcPr>
            <w:tcW w:w="331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开角型青光眼</w:t>
            </w:r>
          </w:p>
        </w:tc>
        <w:tc>
          <w:tcPr>
            <w:tcW w:w="429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前房角镜报告。</w:t>
            </w:r>
          </w:p>
        </w:tc>
      </w:tr>
      <w:tr>
        <w:tblPrEx>
          <w:tblCellMar>
            <w:top w:w="0" w:type="dxa"/>
            <w:left w:w="108" w:type="dxa"/>
            <w:bottom w:w="0" w:type="dxa"/>
            <w:right w:w="108" w:type="dxa"/>
          </w:tblCellMar>
        </w:tblPrEx>
        <w:trPr>
          <w:trHeight w:val="1834" w:hRule="atLeast"/>
          <w:jc w:val="center"/>
        </w:trPr>
        <w:tc>
          <w:tcPr>
            <w:tcW w:w="8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57</w:t>
            </w:r>
          </w:p>
        </w:tc>
        <w:tc>
          <w:tcPr>
            <w:tcW w:w="18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地塞米松</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玻璃体内植入剂</w:t>
            </w:r>
          </w:p>
        </w:tc>
        <w:tc>
          <w:tcPr>
            <w:tcW w:w="3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限视网膜静脉阻塞（</w:t>
            </w:r>
            <w:r>
              <w:rPr>
                <w:rFonts w:hint="eastAsia" w:ascii="Times New Roman" w:hAnsi="Times New Roman" w:cs="宋体"/>
                <w:color w:val="000000"/>
                <w:sz w:val="15"/>
                <w:szCs w:val="15"/>
              </w:rPr>
              <w:t>RVO</w:t>
            </w:r>
            <w:r>
              <w:rPr>
                <w:rFonts w:hint="eastAsia" w:ascii="Times New Roman" w:hAnsi="宋体" w:cs="宋体"/>
                <w:color w:val="000000"/>
                <w:sz w:val="15"/>
                <w:szCs w:val="15"/>
              </w:rPr>
              <w:t>）的黄斑水肿患者，并应同时符合以下条件：</w:t>
            </w:r>
            <w:r>
              <w:rPr>
                <w:rFonts w:hint="eastAsia" w:ascii="Times New Roman" w:hAnsi="Times New Roman" w:cs="宋体"/>
                <w:color w:val="000000"/>
                <w:sz w:val="15"/>
                <w:szCs w:val="15"/>
              </w:rPr>
              <w:t>1.</w:t>
            </w:r>
            <w:r>
              <w:rPr>
                <w:rFonts w:hint="eastAsia" w:ascii="Times New Roman" w:hAnsi="宋体" w:cs="宋体"/>
                <w:color w:val="000000"/>
                <w:sz w:val="15"/>
                <w:szCs w:val="15"/>
              </w:rPr>
              <w:t>需三级综合医院眼科或二级及以上眼科专科医院医师处方；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首次处方时病眼基线矫正视力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事前审查后方可用，初次申请需有血管造影或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血管成像）证据；</w:t>
            </w:r>
            <w:r>
              <w:rPr>
                <w:rFonts w:hint="eastAsia" w:ascii="Times New Roman" w:hAnsi="Times New Roman" w:cs="宋体"/>
                <w:color w:val="000000"/>
                <w:sz w:val="15"/>
                <w:szCs w:val="15"/>
              </w:rPr>
              <w:t>4.</w:t>
            </w:r>
            <w:r>
              <w:rPr>
                <w:rFonts w:hint="eastAsia" w:ascii="Times New Roman" w:hAnsi="宋体" w:cs="宋体"/>
                <w:color w:val="000000"/>
                <w:sz w:val="15"/>
                <w:szCs w:val="15"/>
              </w:rPr>
              <w:t>每眼累计最多支付</w:t>
            </w:r>
            <w:r>
              <w:rPr>
                <w:rFonts w:hint="eastAsia" w:ascii="Times New Roman" w:hAnsi="Times New Roman" w:cs="宋体"/>
                <w:color w:val="000000"/>
                <w:sz w:val="15"/>
                <w:szCs w:val="15"/>
              </w:rPr>
              <w:t>5</w:t>
            </w:r>
            <w:r>
              <w:rPr>
                <w:rFonts w:hint="eastAsia" w:ascii="Times New Roman" w:hAnsi="宋体" w:cs="宋体"/>
                <w:color w:val="000000"/>
                <w:sz w:val="15"/>
                <w:szCs w:val="15"/>
              </w:rPr>
              <w:t>支，每个年度最多支付</w:t>
            </w:r>
            <w:r>
              <w:rPr>
                <w:rFonts w:hint="eastAsia" w:ascii="Times New Roman" w:hAnsi="Times New Roman" w:cs="宋体"/>
                <w:color w:val="000000"/>
                <w:sz w:val="15"/>
                <w:szCs w:val="15"/>
              </w:rPr>
              <w:t>2</w:t>
            </w:r>
            <w:r>
              <w:rPr>
                <w:rFonts w:hint="eastAsia" w:ascii="Times New Roman" w:hAnsi="宋体" w:cs="宋体"/>
                <w:color w:val="000000"/>
                <w:sz w:val="15"/>
                <w:szCs w:val="15"/>
              </w:rPr>
              <w:t>支。</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视网膜静脉阻塞（</w:t>
            </w:r>
            <w:r>
              <w:rPr>
                <w:rFonts w:hint="eastAsia" w:ascii="Times New Roman" w:hAnsi="Times New Roman" w:cs="宋体"/>
                <w:color w:val="000000"/>
                <w:sz w:val="15"/>
                <w:szCs w:val="15"/>
              </w:rPr>
              <w:t>RVO</w:t>
            </w:r>
            <w:r>
              <w:rPr>
                <w:rFonts w:hint="eastAsia" w:ascii="Times New Roman" w:hAnsi="宋体" w:cs="宋体"/>
                <w:color w:val="000000"/>
                <w:sz w:val="15"/>
                <w:szCs w:val="15"/>
              </w:rPr>
              <w:t>）的黄斑水肿</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 xml:space="preserve">2. </w:t>
            </w:r>
            <w:r>
              <w:rPr>
                <w:rFonts w:hint="eastAsia" w:ascii="Times New Roman" w:hAnsi="宋体" w:cs="宋体"/>
                <w:color w:val="000000"/>
                <w:sz w:val="15"/>
                <w:szCs w:val="15"/>
              </w:rPr>
              <w:t>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血管成像）检查报告；</w:t>
            </w:r>
            <w:r>
              <w:rPr>
                <w:rFonts w:hint="eastAsia" w:ascii="Times New Roman" w:hAnsi="Times New Roman" w:cs="宋体"/>
                <w:color w:val="000000"/>
                <w:sz w:val="15"/>
                <w:szCs w:val="15"/>
              </w:rPr>
              <w:t>3.</w:t>
            </w:r>
            <w:r>
              <w:rPr>
                <w:rFonts w:hint="eastAsia" w:ascii="Times New Roman" w:hAnsi="宋体" w:cs="宋体"/>
                <w:color w:val="000000"/>
                <w:sz w:val="15"/>
                <w:szCs w:val="15"/>
              </w:rPr>
              <w:t>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p>
        </w:tc>
      </w:tr>
      <w:tr>
        <w:tblPrEx>
          <w:tblCellMar>
            <w:top w:w="0" w:type="dxa"/>
            <w:left w:w="108" w:type="dxa"/>
            <w:bottom w:w="0" w:type="dxa"/>
            <w:right w:w="108" w:type="dxa"/>
          </w:tblCellMar>
        </w:tblPrEx>
        <w:trPr>
          <w:trHeight w:val="124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58</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康柏西普</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眼用注射液</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限以下疾病：</w:t>
            </w:r>
            <w:r>
              <w:rPr>
                <w:rFonts w:hint="eastAsia" w:ascii="Times New Roman" w:hAnsi="Times New Roman" w:cs="宋体"/>
                <w:color w:val="000000"/>
                <w:sz w:val="15"/>
                <w:szCs w:val="15"/>
              </w:rPr>
              <w:t>1.50</w:t>
            </w:r>
            <w:r>
              <w:rPr>
                <w:rFonts w:hint="eastAsia" w:ascii="Times New Roman" w:hAnsi="宋体" w:cs="宋体"/>
                <w:color w:val="000000"/>
                <w:sz w:val="15"/>
                <w:szCs w:val="15"/>
              </w:rPr>
              <w:t>岁以上的湿性年龄相关性黄斑变性（</w:t>
            </w:r>
            <w:r>
              <w:rPr>
                <w:rFonts w:hint="eastAsia" w:ascii="Times New Roman" w:hAnsi="Times New Roman" w:cs="宋体"/>
                <w:color w:val="000000"/>
                <w:sz w:val="15"/>
                <w:szCs w:val="15"/>
              </w:rPr>
              <w:t>AMD</w:t>
            </w:r>
            <w:r>
              <w:rPr>
                <w:rFonts w:hint="eastAsia" w:ascii="Times New Roman" w:hAnsi="宋体" w:cs="宋体"/>
                <w:color w:val="000000"/>
                <w:sz w:val="15"/>
                <w:szCs w:val="15"/>
              </w:rPr>
              <w:t>）；</w:t>
            </w:r>
            <w:r>
              <w:rPr>
                <w:rFonts w:hint="eastAsia" w:ascii="Times New Roman" w:hAnsi="Times New Roman" w:cs="宋体"/>
                <w:color w:val="000000"/>
                <w:sz w:val="15"/>
                <w:szCs w:val="15"/>
              </w:rPr>
              <w:t>2.</w:t>
            </w:r>
            <w:r>
              <w:rPr>
                <w:rFonts w:hint="eastAsia" w:ascii="Times New Roman" w:hAnsi="宋体" w:cs="宋体"/>
                <w:color w:val="000000"/>
                <w:sz w:val="15"/>
                <w:szCs w:val="15"/>
              </w:rPr>
              <w:t>糖尿病性黄斑水肿（</w:t>
            </w:r>
            <w:r>
              <w:rPr>
                <w:rFonts w:hint="eastAsia" w:ascii="Times New Roman" w:hAnsi="Times New Roman" w:cs="宋体"/>
                <w:color w:val="000000"/>
                <w:sz w:val="15"/>
                <w:szCs w:val="15"/>
              </w:rPr>
              <w:t>DME</w:t>
            </w:r>
            <w:r>
              <w:rPr>
                <w:rFonts w:hint="eastAsia" w:ascii="Times New Roman" w:hAnsi="宋体" w:cs="宋体"/>
                <w:color w:val="000000"/>
                <w:sz w:val="15"/>
                <w:szCs w:val="15"/>
              </w:rPr>
              <w:t>）引起的视力损害；</w:t>
            </w:r>
            <w:r>
              <w:rPr>
                <w:rFonts w:hint="eastAsia" w:ascii="Times New Roman" w:hAnsi="Times New Roman" w:cs="宋体"/>
                <w:color w:val="000000"/>
                <w:sz w:val="15"/>
                <w:szCs w:val="15"/>
              </w:rPr>
              <w:t>3.</w:t>
            </w:r>
            <w:r>
              <w:rPr>
                <w:rFonts w:hint="eastAsia" w:ascii="Times New Roman" w:hAnsi="宋体" w:cs="宋体"/>
                <w:color w:val="000000"/>
                <w:sz w:val="15"/>
                <w:szCs w:val="15"/>
              </w:rPr>
              <w:t>脉络膜新生血管（</w:t>
            </w:r>
            <w:r>
              <w:rPr>
                <w:rFonts w:hint="eastAsia" w:ascii="Times New Roman" w:hAnsi="Times New Roman" w:cs="宋体"/>
                <w:color w:val="000000"/>
                <w:sz w:val="15"/>
                <w:szCs w:val="15"/>
              </w:rPr>
              <w:t>CNV</w:t>
            </w:r>
            <w:r>
              <w:rPr>
                <w:rFonts w:hint="eastAsia" w:ascii="Times New Roman" w:hAnsi="宋体" w:cs="宋体"/>
                <w:color w:val="000000"/>
                <w:sz w:val="15"/>
                <w:szCs w:val="15"/>
              </w:rPr>
              <w:t>）导致的视力损害。应同时符合以下条件：</w:t>
            </w:r>
            <w:r>
              <w:rPr>
                <w:rFonts w:hint="eastAsia" w:ascii="Times New Roman" w:hAnsi="Times New Roman" w:cs="宋体"/>
                <w:color w:val="000000"/>
                <w:sz w:val="15"/>
                <w:szCs w:val="15"/>
              </w:rPr>
              <w:t>1.</w:t>
            </w:r>
            <w:r>
              <w:rPr>
                <w:rFonts w:hint="eastAsia" w:ascii="Times New Roman" w:hAnsi="宋体" w:cs="宋体"/>
                <w:color w:val="000000"/>
                <w:sz w:val="15"/>
                <w:szCs w:val="15"/>
              </w:rPr>
              <w:t>需三级综合医院眼科或二级及以上眼科专科医院医师处方；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首次处方时病眼基线矫正视力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事前审查后方可用，初次申请需有血管造影或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血管成像）证据；</w:t>
            </w:r>
            <w:r>
              <w:rPr>
                <w:rFonts w:hint="eastAsia" w:ascii="Times New Roman" w:hAnsi="Times New Roman" w:cs="宋体"/>
                <w:color w:val="000000"/>
                <w:sz w:val="15"/>
                <w:szCs w:val="15"/>
              </w:rPr>
              <w:t>4.</w:t>
            </w:r>
            <w:r>
              <w:rPr>
                <w:rFonts w:hint="eastAsia" w:ascii="Times New Roman" w:hAnsi="宋体" w:cs="宋体"/>
                <w:color w:val="000000"/>
                <w:sz w:val="15"/>
                <w:szCs w:val="15"/>
              </w:rPr>
              <w:t>每眼累计最多支付</w:t>
            </w:r>
            <w:r>
              <w:rPr>
                <w:rFonts w:hint="eastAsia" w:ascii="Times New Roman" w:hAnsi="Times New Roman" w:cs="宋体"/>
                <w:color w:val="000000"/>
                <w:sz w:val="15"/>
                <w:szCs w:val="15"/>
              </w:rPr>
              <w:t>9</w:t>
            </w:r>
            <w:r>
              <w:rPr>
                <w:rFonts w:hint="eastAsia" w:ascii="Times New Roman" w:hAnsi="宋体" w:cs="宋体"/>
                <w:color w:val="000000"/>
                <w:sz w:val="15"/>
                <w:szCs w:val="15"/>
              </w:rPr>
              <w:t>支，第</w:t>
            </w:r>
            <w:r>
              <w:rPr>
                <w:rFonts w:hint="eastAsia" w:ascii="Times New Roman" w:hAnsi="Times New Roman" w:cs="宋体"/>
                <w:color w:val="000000"/>
                <w:sz w:val="15"/>
                <w:szCs w:val="15"/>
              </w:rPr>
              <w:t>1</w:t>
            </w:r>
            <w:r>
              <w:rPr>
                <w:rFonts w:hint="eastAsia" w:ascii="Times New Roman" w:hAnsi="宋体" w:cs="宋体"/>
                <w:color w:val="000000"/>
                <w:sz w:val="15"/>
                <w:szCs w:val="15"/>
              </w:rPr>
              <w:t>年度最多支付</w:t>
            </w:r>
            <w:r>
              <w:rPr>
                <w:rFonts w:hint="eastAsia" w:ascii="Times New Roman" w:hAnsi="Times New Roman" w:cs="宋体"/>
                <w:color w:val="000000"/>
                <w:sz w:val="15"/>
                <w:szCs w:val="15"/>
              </w:rPr>
              <w:t>5</w:t>
            </w:r>
            <w:r>
              <w:rPr>
                <w:rFonts w:hint="eastAsia" w:ascii="Times New Roman" w:hAnsi="宋体" w:cs="宋体"/>
                <w:color w:val="000000"/>
                <w:sz w:val="15"/>
                <w:szCs w:val="15"/>
              </w:rPr>
              <w:t>支。阿柏西普、雷珠单抗和康柏西普的药品支数合并计算。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湿性年龄相关性黄斑变性</w:t>
            </w:r>
          </w:p>
        </w:tc>
        <w:tc>
          <w:tcPr>
            <w:tcW w:w="42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 xml:space="preserve">2. </w:t>
            </w:r>
            <w:r>
              <w:rPr>
                <w:rFonts w:hint="eastAsia" w:ascii="Times New Roman" w:hAnsi="宋体" w:cs="宋体"/>
                <w:color w:val="000000"/>
                <w:sz w:val="15"/>
                <w:szCs w:val="15"/>
              </w:rPr>
              <w:t>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血管成像）检查报告；</w:t>
            </w:r>
            <w:r>
              <w:rPr>
                <w:rFonts w:hint="eastAsia" w:ascii="Times New Roman" w:hAnsi="Times New Roman" w:cs="宋体"/>
                <w:color w:val="000000"/>
                <w:sz w:val="15"/>
                <w:szCs w:val="15"/>
              </w:rPr>
              <w:t xml:space="preserve">3. </w:t>
            </w:r>
            <w:r>
              <w:rPr>
                <w:rFonts w:hint="eastAsia" w:ascii="Times New Roman" w:hAnsi="宋体" w:cs="宋体"/>
                <w:color w:val="000000"/>
                <w:sz w:val="15"/>
                <w:szCs w:val="15"/>
              </w:rPr>
              <w:t>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糖尿病性黄斑水肿</w:t>
            </w:r>
          </w:p>
        </w:tc>
        <w:tc>
          <w:tcPr>
            <w:tcW w:w="4293"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2500"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脉络膜新生血管病</w:t>
            </w:r>
          </w:p>
        </w:tc>
        <w:tc>
          <w:tcPr>
            <w:tcW w:w="4293"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124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59</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阿柏西普</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眼内注射溶液</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限以下疾病：</w:t>
            </w:r>
            <w:r>
              <w:rPr>
                <w:rFonts w:hint="eastAsia" w:ascii="Times New Roman" w:hAnsi="Times New Roman" w:cs="宋体"/>
                <w:color w:val="000000"/>
                <w:sz w:val="15"/>
                <w:szCs w:val="15"/>
              </w:rPr>
              <w:t>1.50</w:t>
            </w:r>
            <w:r>
              <w:rPr>
                <w:rFonts w:hint="eastAsia" w:ascii="Times New Roman" w:hAnsi="宋体" w:cs="宋体"/>
                <w:color w:val="000000"/>
                <w:sz w:val="15"/>
                <w:szCs w:val="15"/>
              </w:rPr>
              <w:t>岁以上的湿性年龄相关性黄斑变性（</w:t>
            </w:r>
            <w:r>
              <w:rPr>
                <w:rFonts w:hint="eastAsia" w:ascii="Times New Roman" w:hAnsi="Times New Roman" w:cs="宋体"/>
                <w:color w:val="000000"/>
                <w:sz w:val="15"/>
                <w:szCs w:val="15"/>
              </w:rPr>
              <w:t>AMD</w:t>
            </w:r>
            <w:r>
              <w:rPr>
                <w:rFonts w:hint="eastAsia" w:ascii="Times New Roman" w:hAnsi="宋体" w:cs="宋体"/>
                <w:color w:val="000000"/>
                <w:sz w:val="15"/>
                <w:szCs w:val="15"/>
              </w:rPr>
              <w:t>）；</w:t>
            </w:r>
            <w:r>
              <w:rPr>
                <w:rFonts w:hint="eastAsia" w:ascii="Times New Roman" w:hAnsi="Times New Roman" w:cs="宋体"/>
                <w:color w:val="000000"/>
                <w:sz w:val="15"/>
                <w:szCs w:val="15"/>
              </w:rPr>
              <w:t>2.</w:t>
            </w:r>
            <w:r>
              <w:rPr>
                <w:rFonts w:hint="eastAsia" w:ascii="Times New Roman" w:hAnsi="宋体" w:cs="宋体"/>
                <w:color w:val="000000"/>
                <w:sz w:val="15"/>
                <w:szCs w:val="15"/>
              </w:rPr>
              <w:t>糖尿病性黄斑水肿（</w:t>
            </w:r>
            <w:r>
              <w:rPr>
                <w:rFonts w:hint="eastAsia" w:ascii="Times New Roman" w:hAnsi="Times New Roman" w:cs="宋体"/>
                <w:color w:val="000000"/>
                <w:sz w:val="15"/>
                <w:szCs w:val="15"/>
              </w:rPr>
              <w:t>DME</w:t>
            </w:r>
            <w:r>
              <w:rPr>
                <w:rFonts w:hint="eastAsia" w:ascii="Times New Roman" w:hAnsi="宋体" w:cs="宋体"/>
                <w:color w:val="000000"/>
                <w:sz w:val="15"/>
                <w:szCs w:val="15"/>
              </w:rPr>
              <w:t>）引起的视力损害。应同时符合以下条件：</w:t>
            </w:r>
            <w:r>
              <w:rPr>
                <w:rFonts w:hint="eastAsia" w:ascii="Times New Roman" w:hAnsi="Times New Roman" w:cs="宋体"/>
                <w:color w:val="000000"/>
                <w:sz w:val="15"/>
                <w:szCs w:val="15"/>
              </w:rPr>
              <w:t>1.</w:t>
            </w:r>
            <w:r>
              <w:rPr>
                <w:rFonts w:hint="eastAsia" w:ascii="Times New Roman" w:hAnsi="宋体" w:cs="宋体"/>
                <w:color w:val="000000"/>
                <w:sz w:val="15"/>
                <w:szCs w:val="15"/>
              </w:rPr>
              <w:t>需三级综合医院眼科或二级及以上眼科专科医院医师处方；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首次处方时病眼基线矫正视力</w:t>
            </w:r>
            <w:r>
              <w:rPr>
                <w:rFonts w:hint="eastAsia" w:ascii="Times New Roman" w:hAnsi="Times New Roman" w:cs="宋体"/>
                <w:color w:val="000000"/>
                <w:sz w:val="15"/>
                <w:szCs w:val="15"/>
              </w:rPr>
              <w:t xml:space="preserve"> 0.05-0.5</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事前审查后方可用，初次申请需有血管造影或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血管成像）证据；</w:t>
            </w:r>
            <w:r>
              <w:rPr>
                <w:rFonts w:hint="eastAsia" w:ascii="Times New Roman" w:hAnsi="Times New Roman" w:cs="宋体"/>
                <w:color w:val="000000"/>
                <w:sz w:val="15"/>
                <w:szCs w:val="15"/>
              </w:rPr>
              <w:t>4.</w:t>
            </w:r>
            <w:r>
              <w:rPr>
                <w:rFonts w:hint="eastAsia" w:ascii="Times New Roman" w:hAnsi="宋体" w:cs="宋体"/>
                <w:color w:val="000000"/>
                <w:sz w:val="15"/>
                <w:szCs w:val="15"/>
              </w:rPr>
              <w:t>每眼累计最多支付</w:t>
            </w:r>
            <w:r>
              <w:rPr>
                <w:rFonts w:hint="eastAsia" w:ascii="Times New Roman" w:hAnsi="Times New Roman" w:cs="宋体"/>
                <w:color w:val="000000"/>
                <w:sz w:val="15"/>
                <w:szCs w:val="15"/>
              </w:rPr>
              <w:t xml:space="preserve"> 9</w:t>
            </w:r>
            <w:r>
              <w:rPr>
                <w:rFonts w:hint="eastAsia" w:ascii="Times New Roman" w:hAnsi="宋体" w:cs="宋体"/>
                <w:color w:val="000000"/>
                <w:sz w:val="15"/>
                <w:szCs w:val="15"/>
              </w:rPr>
              <w:t>支，第</w:t>
            </w:r>
            <w:r>
              <w:rPr>
                <w:rFonts w:hint="eastAsia" w:ascii="Times New Roman" w:hAnsi="Times New Roman" w:cs="宋体"/>
                <w:color w:val="000000"/>
                <w:sz w:val="15"/>
                <w:szCs w:val="15"/>
              </w:rPr>
              <w:t>1</w:t>
            </w:r>
            <w:r>
              <w:rPr>
                <w:rFonts w:hint="eastAsia" w:ascii="Times New Roman" w:hAnsi="宋体" w:cs="宋体"/>
                <w:color w:val="000000"/>
                <w:sz w:val="15"/>
                <w:szCs w:val="15"/>
              </w:rPr>
              <w:t>年度最多支付</w:t>
            </w:r>
            <w:r>
              <w:rPr>
                <w:rFonts w:hint="eastAsia" w:ascii="Times New Roman" w:hAnsi="Times New Roman" w:cs="宋体"/>
                <w:color w:val="000000"/>
                <w:sz w:val="15"/>
                <w:szCs w:val="15"/>
              </w:rPr>
              <w:t>5</w:t>
            </w:r>
            <w:r>
              <w:rPr>
                <w:rFonts w:hint="eastAsia" w:ascii="Times New Roman" w:hAnsi="宋体" w:cs="宋体"/>
                <w:color w:val="000000"/>
                <w:sz w:val="15"/>
                <w:szCs w:val="15"/>
              </w:rPr>
              <w:t>支。阿柏西普、雷珠单抗和康柏西普的药品支数合并计算。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湿性年龄相关性黄斑变性</w:t>
            </w:r>
          </w:p>
        </w:tc>
        <w:tc>
          <w:tcPr>
            <w:tcW w:w="42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血管成像）检查报告；</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3.</w:t>
            </w:r>
            <w:r>
              <w:rPr>
                <w:rFonts w:hint="eastAsia" w:ascii="Times New Roman" w:hAnsi="宋体" w:cs="宋体"/>
                <w:color w:val="000000"/>
                <w:sz w:val="15"/>
                <w:szCs w:val="15"/>
              </w:rPr>
              <w:t>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p>
        </w:tc>
      </w:tr>
      <w:tr>
        <w:tblPrEx>
          <w:tblCellMar>
            <w:top w:w="0" w:type="dxa"/>
            <w:left w:w="108" w:type="dxa"/>
            <w:bottom w:w="0" w:type="dxa"/>
            <w:right w:w="108" w:type="dxa"/>
          </w:tblCellMar>
        </w:tblPrEx>
        <w:trPr>
          <w:trHeight w:val="2969"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糖尿病性黄斑水肿</w:t>
            </w:r>
          </w:p>
        </w:tc>
        <w:tc>
          <w:tcPr>
            <w:tcW w:w="42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1247"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60</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雷珠单抗</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注射液</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限以下疾病：</w:t>
            </w:r>
            <w:r>
              <w:rPr>
                <w:rFonts w:hint="eastAsia" w:ascii="Times New Roman" w:hAnsi="Times New Roman" w:cs="宋体"/>
                <w:color w:val="000000"/>
                <w:sz w:val="15"/>
                <w:szCs w:val="15"/>
              </w:rPr>
              <w:t>1.50</w:t>
            </w:r>
            <w:r>
              <w:rPr>
                <w:rFonts w:hint="eastAsia" w:ascii="Times New Roman" w:hAnsi="宋体" w:cs="宋体"/>
                <w:color w:val="000000"/>
                <w:sz w:val="15"/>
                <w:szCs w:val="15"/>
              </w:rPr>
              <w:t>岁以上的湿性年龄相关性黄斑变性（</w:t>
            </w:r>
            <w:r>
              <w:rPr>
                <w:rFonts w:hint="eastAsia" w:ascii="Times New Roman" w:hAnsi="Times New Roman" w:cs="宋体"/>
                <w:color w:val="000000"/>
                <w:sz w:val="15"/>
                <w:szCs w:val="15"/>
              </w:rPr>
              <w:t>AMD</w:t>
            </w:r>
            <w:r>
              <w:rPr>
                <w:rFonts w:hint="eastAsia" w:ascii="Times New Roman" w:hAnsi="宋体" w:cs="宋体"/>
                <w:color w:val="000000"/>
                <w:sz w:val="15"/>
                <w:szCs w:val="15"/>
              </w:rPr>
              <w:t>）；</w:t>
            </w:r>
            <w:r>
              <w:rPr>
                <w:rFonts w:hint="eastAsia" w:ascii="Times New Roman" w:hAnsi="Times New Roman" w:cs="宋体"/>
                <w:color w:val="000000"/>
                <w:sz w:val="15"/>
                <w:szCs w:val="15"/>
              </w:rPr>
              <w:t>2.</w:t>
            </w:r>
            <w:r>
              <w:rPr>
                <w:rFonts w:hint="eastAsia" w:ascii="Times New Roman" w:hAnsi="宋体" w:cs="宋体"/>
                <w:color w:val="000000"/>
                <w:sz w:val="15"/>
                <w:szCs w:val="15"/>
              </w:rPr>
              <w:t>糖尿病性黄斑水肿（</w:t>
            </w:r>
            <w:r>
              <w:rPr>
                <w:rFonts w:hint="eastAsia" w:ascii="Times New Roman" w:hAnsi="Times New Roman" w:cs="宋体"/>
                <w:color w:val="000000"/>
                <w:sz w:val="15"/>
                <w:szCs w:val="15"/>
              </w:rPr>
              <w:t>DME</w:t>
            </w:r>
            <w:r>
              <w:rPr>
                <w:rFonts w:hint="eastAsia" w:ascii="Times New Roman" w:hAnsi="宋体" w:cs="宋体"/>
                <w:color w:val="000000"/>
                <w:sz w:val="15"/>
                <w:szCs w:val="15"/>
              </w:rPr>
              <w:t>）引起的视力损害；</w:t>
            </w:r>
            <w:r>
              <w:rPr>
                <w:rFonts w:hint="eastAsia" w:ascii="Times New Roman" w:hAnsi="Times New Roman" w:cs="宋体"/>
                <w:color w:val="000000"/>
                <w:sz w:val="15"/>
                <w:szCs w:val="15"/>
              </w:rPr>
              <w:t>3.</w:t>
            </w:r>
            <w:r>
              <w:rPr>
                <w:rFonts w:hint="eastAsia" w:ascii="Times New Roman" w:hAnsi="宋体" w:cs="宋体"/>
                <w:color w:val="000000"/>
                <w:sz w:val="15"/>
                <w:szCs w:val="15"/>
              </w:rPr>
              <w:t>脉络膜新生血管（</w:t>
            </w:r>
            <w:r>
              <w:rPr>
                <w:rFonts w:hint="eastAsia" w:ascii="Times New Roman" w:hAnsi="Times New Roman" w:cs="宋体"/>
                <w:color w:val="000000"/>
                <w:sz w:val="15"/>
                <w:szCs w:val="15"/>
              </w:rPr>
              <w:t>CNV</w:t>
            </w:r>
            <w:r>
              <w:rPr>
                <w:rFonts w:hint="eastAsia" w:ascii="Times New Roman" w:hAnsi="宋体" w:cs="宋体"/>
                <w:color w:val="000000"/>
                <w:sz w:val="15"/>
                <w:szCs w:val="15"/>
              </w:rPr>
              <w:t>）导致的视力损害；</w:t>
            </w:r>
            <w:r>
              <w:rPr>
                <w:rFonts w:hint="eastAsia" w:ascii="Times New Roman" w:hAnsi="Times New Roman" w:cs="宋体"/>
                <w:color w:val="000000"/>
                <w:sz w:val="15"/>
                <w:szCs w:val="15"/>
              </w:rPr>
              <w:t>4.</w:t>
            </w:r>
            <w:r>
              <w:rPr>
                <w:rFonts w:hint="eastAsia" w:ascii="Times New Roman" w:hAnsi="宋体" w:cs="宋体"/>
                <w:color w:val="000000"/>
                <w:sz w:val="15"/>
                <w:szCs w:val="15"/>
              </w:rPr>
              <w:t>继发于视网膜静脉阻塞</w:t>
            </w:r>
            <w:r>
              <w:rPr>
                <w:rFonts w:hint="eastAsia" w:ascii="Times New Roman" w:hAnsi="Times New Roman" w:cs="宋体"/>
                <w:color w:val="000000"/>
                <w:sz w:val="15"/>
                <w:szCs w:val="15"/>
              </w:rPr>
              <w:br w:type="textWrapping"/>
            </w:r>
            <w:r>
              <w:rPr>
                <w:rFonts w:hint="eastAsia" w:ascii="Times New Roman" w:hAnsi="宋体" w:cs="宋体"/>
                <w:color w:val="000000"/>
                <w:sz w:val="15"/>
                <w:szCs w:val="15"/>
              </w:rPr>
              <w:t>（</w:t>
            </w:r>
            <w:r>
              <w:rPr>
                <w:rFonts w:hint="eastAsia" w:ascii="Times New Roman" w:hAnsi="Times New Roman" w:cs="宋体"/>
                <w:color w:val="000000"/>
                <w:sz w:val="15"/>
                <w:szCs w:val="15"/>
              </w:rPr>
              <w:t>RVO</w:t>
            </w:r>
            <w:r>
              <w:rPr>
                <w:rFonts w:hint="eastAsia" w:ascii="Times New Roman" w:hAnsi="宋体" w:cs="宋体"/>
                <w:color w:val="000000"/>
                <w:sz w:val="15"/>
                <w:szCs w:val="15"/>
              </w:rPr>
              <w:t>）的黄斑水肿引起的视力损害。应同时符合以下条件：</w:t>
            </w:r>
            <w:r>
              <w:rPr>
                <w:rFonts w:hint="eastAsia" w:ascii="Times New Roman" w:hAnsi="Times New Roman" w:cs="宋体"/>
                <w:color w:val="000000"/>
                <w:sz w:val="15"/>
                <w:szCs w:val="15"/>
              </w:rPr>
              <w:t>1.</w:t>
            </w:r>
            <w:r>
              <w:rPr>
                <w:rFonts w:hint="eastAsia" w:ascii="Times New Roman" w:hAnsi="宋体" w:cs="宋体"/>
                <w:color w:val="000000"/>
                <w:sz w:val="15"/>
                <w:szCs w:val="15"/>
              </w:rPr>
              <w:t>需三级综合医院眼科或二级及以上眼科专科医院医师处方；</w:t>
            </w:r>
            <w:r>
              <w:rPr>
                <w:rFonts w:hint="eastAsia" w:ascii="Times New Roman" w:hAnsi="Times New Roman" w:cs="宋体"/>
                <w:color w:val="000000"/>
                <w:sz w:val="15"/>
                <w:szCs w:val="15"/>
              </w:rPr>
              <w:t>2.</w:t>
            </w:r>
            <w:r>
              <w:rPr>
                <w:rFonts w:hint="eastAsia" w:ascii="Times New Roman" w:hAnsi="宋体" w:cs="宋体"/>
                <w:color w:val="000000"/>
                <w:sz w:val="15"/>
                <w:szCs w:val="15"/>
              </w:rPr>
              <w:t>首次处方时病眼基线矫正视力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r>
              <w:rPr>
                <w:rFonts w:hint="eastAsia" w:ascii="Times New Roman" w:hAnsi="Times New Roman" w:cs="宋体"/>
                <w:color w:val="000000"/>
                <w:sz w:val="15"/>
                <w:szCs w:val="15"/>
              </w:rPr>
              <w:t>3.</w:t>
            </w:r>
            <w:r>
              <w:rPr>
                <w:rFonts w:hint="eastAsia" w:ascii="Times New Roman" w:hAnsi="宋体" w:cs="宋体"/>
                <w:color w:val="000000"/>
                <w:sz w:val="15"/>
                <w:szCs w:val="15"/>
              </w:rPr>
              <w:t>事前审查后方可用，初次申请需有血管造影或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血管成像）证据；</w:t>
            </w:r>
            <w:r>
              <w:rPr>
                <w:rFonts w:hint="eastAsia" w:ascii="Times New Roman" w:hAnsi="Times New Roman" w:cs="宋体"/>
                <w:color w:val="000000"/>
                <w:sz w:val="15"/>
                <w:szCs w:val="15"/>
              </w:rPr>
              <w:t>4.</w:t>
            </w:r>
            <w:r>
              <w:rPr>
                <w:rFonts w:hint="eastAsia" w:ascii="Times New Roman" w:hAnsi="宋体" w:cs="宋体"/>
                <w:color w:val="000000"/>
                <w:sz w:val="15"/>
                <w:szCs w:val="15"/>
              </w:rPr>
              <w:t>每眼累计最多支付</w:t>
            </w:r>
            <w:r>
              <w:rPr>
                <w:rFonts w:hint="eastAsia" w:ascii="Times New Roman" w:hAnsi="Times New Roman" w:cs="宋体"/>
                <w:color w:val="000000"/>
                <w:sz w:val="15"/>
                <w:szCs w:val="15"/>
              </w:rPr>
              <w:t>9</w:t>
            </w:r>
            <w:r>
              <w:rPr>
                <w:rFonts w:hint="eastAsia" w:ascii="Times New Roman" w:hAnsi="宋体" w:cs="宋体"/>
                <w:color w:val="000000"/>
                <w:sz w:val="15"/>
                <w:szCs w:val="15"/>
              </w:rPr>
              <w:t>支，第</w:t>
            </w:r>
            <w:r>
              <w:rPr>
                <w:rFonts w:hint="eastAsia" w:ascii="Times New Roman" w:hAnsi="Times New Roman" w:cs="宋体"/>
                <w:color w:val="000000"/>
                <w:sz w:val="15"/>
                <w:szCs w:val="15"/>
              </w:rPr>
              <w:t>1</w:t>
            </w:r>
            <w:r>
              <w:rPr>
                <w:rFonts w:hint="eastAsia" w:ascii="Times New Roman" w:hAnsi="宋体" w:cs="宋体"/>
                <w:color w:val="000000"/>
                <w:sz w:val="15"/>
                <w:szCs w:val="15"/>
              </w:rPr>
              <w:t>年度最多支付</w:t>
            </w:r>
            <w:r>
              <w:rPr>
                <w:rFonts w:hint="eastAsia" w:ascii="Times New Roman" w:hAnsi="Times New Roman" w:cs="宋体"/>
                <w:color w:val="000000"/>
                <w:sz w:val="15"/>
                <w:szCs w:val="15"/>
              </w:rPr>
              <w:t>5</w:t>
            </w:r>
            <w:r>
              <w:rPr>
                <w:rFonts w:hint="eastAsia" w:ascii="Times New Roman" w:hAnsi="宋体" w:cs="宋体"/>
                <w:color w:val="000000"/>
                <w:sz w:val="15"/>
                <w:szCs w:val="15"/>
              </w:rPr>
              <w:t>支。阿柏西普、雷珠单抗和康柏西普的药品支数合并计算。</w:t>
            </w: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湿性年龄相关性黄斑变性</w:t>
            </w:r>
          </w:p>
        </w:tc>
        <w:tc>
          <w:tcPr>
            <w:tcW w:w="42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血管造影或</w:t>
            </w:r>
            <w:r>
              <w:rPr>
                <w:rFonts w:hint="eastAsia" w:ascii="Times New Roman" w:hAnsi="Times New Roman" w:cs="宋体"/>
                <w:color w:val="000000"/>
                <w:sz w:val="15"/>
                <w:szCs w:val="15"/>
              </w:rPr>
              <w:t>OCT</w:t>
            </w:r>
            <w:r>
              <w:rPr>
                <w:rFonts w:hint="eastAsia" w:ascii="Times New Roman" w:hAnsi="宋体" w:cs="宋体"/>
                <w:color w:val="000000"/>
                <w:sz w:val="15"/>
                <w:szCs w:val="15"/>
              </w:rPr>
              <w:t>（全身情况不允许的患者可以提供</w:t>
            </w:r>
            <w:r>
              <w:rPr>
                <w:rFonts w:hint="eastAsia" w:ascii="Times New Roman" w:hAnsi="Times New Roman" w:cs="宋体"/>
                <w:color w:val="000000"/>
                <w:sz w:val="15"/>
                <w:szCs w:val="15"/>
              </w:rPr>
              <w:t>OCT</w:t>
            </w:r>
            <w:r>
              <w:rPr>
                <w:rFonts w:hint="eastAsia" w:ascii="Times New Roman" w:hAnsi="宋体" w:cs="宋体"/>
                <w:color w:val="000000"/>
                <w:sz w:val="15"/>
                <w:szCs w:val="15"/>
              </w:rPr>
              <w:t>血管成像）检查报告；</w:t>
            </w:r>
            <w:r>
              <w:rPr>
                <w:rFonts w:hint="eastAsia" w:ascii="Times New Roman" w:hAnsi="Times New Roman" w:cs="宋体"/>
                <w:color w:val="000000"/>
                <w:sz w:val="15"/>
                <w:szCs w:val="15"/>
              </w:rPr>
              <w:br w:type="textWrapping"/>
            </w:r>
            <w:r>
              <w:rPr>
                <w:rFonts w:hint="eastAsia" w:ascii="Times New Roman" w:hAnsi="Times New Roman" w:cs="宋体"/>
                <w:color w:val="000000"/>
                <w:sz w:val="15"/>
                <w:szCs w:val="15"/>
              </w:rPr>
              <w:t>3.</w:t>
            </w:r>
            <w:r>
              <w:rPr>
                <w:rFonts w:hint="eastAsia" w:ascii="Times New Roman" w:hAnsi="宋体" w:cs="宋体"/>
                <w:color w:val="000000"/>
                <w:sz w:val="15"/>
                <w:szCs w:val="15"/>
              </w:rPr>
              <w:t>病眼基线矫正视力</w:t>
            </w:r>
            <w:r>
              <w:rPr>
                <w:rFonts w:hint="eastAsia" w:ascii="Times New Roman" w:hAnsi="Times New Roman" w:cs="宋体"/>
                <w:color w:val="000000"/>
                <w:sz w:val="15"/>
                <w:szCs w:val="15"/>
              </w:rPr>
              <w:t>0.05-0.5</w:t>
            </w:r>
            <w:r>
              <w:rPr>
                <w:rFonts w:hint="eastAsia" w:ascii="Times New Roman" w:hAnsi="宋体" w:cs="宋体"/>
                <w:color w:val="000000"/>
                <w:sz w:val="15"/>
                <w:szCs w:val="15"/>
              </w:rPr>
              <w:t>。</w:t>
            </w: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糖尿病性黄斑水肿</w:t>
            </w:r>
          </w:p>
        </w:tc>
        <w:tc>
          <w:tcPr>
            <w:tcW w:w="4293"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10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脉络膜新生血管病</w:t>
            </w:r>
          </w:p>
        </w:tc>
        <w:tc>
          <w:tcPr>
            <w:tcW w:w="4293"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983"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宋体" w:cs="宋体"/>
                <w:color w:val="000000"/>
                <w:sz w:val="15"/>
                <w:szCs w:val="15"/>
              </w:rPr>
              <w:t>视网膜静脉阻塞（</w:t>
            </w:r>
            <w:r>
              <w:rPr>
                <w:rFonts w:hint="eastAsia" w:ascii="Times New Roman" w:hAnsi="Times New Roman" w:cs="宋体"/>
                <w:color w:val="000000"/>
                <w:sz w:val="15"/>
                <w:szCs w:val="15"/>
              </w:rPr>
              <w:t>RVO</w:t>
            </w:r>
            <w:r>
              <w:rPr>
                <w:rFonts w:hint="eastAsia" w:ascii="Times New Roman" w:hAnsi="宋体" w:cs="宋体"/>
                <w:color w:val="000000"/>
                <w:sz w:val="15"/>
                <w:szCs w:val="15"/>
              </w:rPr>
              <w:t>）的黄斑水肿</w:t>
            </w:r>
          </w:p>
        </w:tc>
        <w:tc>
          <w:tcPr>
            <w:tcW w:w="4293"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rPr>
                <w:rFonts w:ascii="Times New Roman" w:hAnsi="Times New Roman" w:cs="宋体"/>
                <w:color w:val="000000"/>
                <w:sz w:val="15"/>
                <w:szCs w:val="15"/>
              </w:rPr>
            </w:pPr>
          </w:p>
        </w:tc>
      </w:tr>
      <w:tr>
        <w:tblPrEx>
          <w:tblCellMar>
            <w:top w:w="0" w:type="dxa"/>
            <w:left w:w="108" w:type="dxa"/>
            <w:bottom w:w="0" w:type="dxa"/>
            <w:right w:w="108" w:type="dxa"/>
          </w:tblCellMar>
        </w:tblPrEx>
        <w:trPr>
          <w:trHeight w:val="1002"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61</w:t>
            </w:r>
          </w:p>
        </w:tc>
        <w:tc>
          <w:tcPr>
            <w:tcW w:w="18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地拉罗司</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口服常释剂型</w:t>
            </w:r>
          </w:p>
        </w:tc>
        <w:tc>
          <w:tcPr>
            <w:tcW w:w="33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Times New Roman" w:cs="宋体"/>
                <w:color w:val="000000"/>
                <w:sz w:val="15"/>
                <w:szCs w:val="15"/>
              </w:rPr>
              <w:t>β-</w:t>
            </w:r>
            <w:r>
              <w:rPr>
                <w:rFonts w:hint="eastAsia" w:ascii="Times New Roman" w:hAnsi="宋体" w:cs="宋体"/>
                <w:color w:val="000000"/>
                <w:sz w:val="15"/>
                <w:szCs w:val="15"/>
              </w:rPr>
              <w:t>地中海贫血</w:t>
            </w:r>
          </w:p>
        </w:tc>
        <w:tc>
          <w:tcPr>
            <w:tcW w:w="4293" w:type="dxa"/>
            <w:tcBorders>
              <w:top w:val="single" w:color="auto" w:sz="4" w:space="0"/>
              <w:left w:val="single" w:color="auto" w:sz="4" w:space="0"/>
              <w:bottom w:val="single" w:color="auto" w:sz="4" w:space="0"/>
              <w:right w:val="single" w:color="auto" w:sz="4" w:space="0"/>
            </w:tcBorders>
            <w:shd w:val="clear" w:color="000000" w:fill="FFFFFF"/>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w:t>
            </w:r>
            <w:r>
              <w:rPr>
                <w:rFonts w:hint="eastAsia" w:ascii="Times New Roman" w:hAnsi="Times New Roman" w:cs="宋体"/>
                <w:color w:val="000000"/>
                <w:sz w:val="15"/>
                <w:szCs w:val="15"/>
              </w:rPr>
              <w:t>2.</w:t>
            </w:r>
            <w:r>
              <w:rPr>
                <w:rFonts w:hint="eastAsia" w:ascii="Times New Roman" w:hAnsi="宋体" w:cs="宋体"/>
                <w:color w:val="000000"/>
                <w:sz w:val="15"/>
                <w:szCs w:val="15"/>
              </w:rPr>
              <w:t>输血的病史资料；</w:t>
            </w:r>
            <w:r>
              <w:rPr>
                <w:rFonts w:hint="eastAsia" w:ascii="Times New Roman" w:hAnsi="Times New Roman" w:cs="宋体"/>
                <w:color w:val="000000"/>
                <w:sz w:val="15"/>
                <w:szCs w:val="15"/>
              </w:rPr>
              <w:t>3.</w:t>
            </w:r>
            <w:r>
              <w:rPr>
                <w:rFonts w:hint="eastAsia" w:ascii="Times New Roman" w:hAnsi="宋体" w:cs="宋体"/>
                <w:color w:val="000000"/>
                <w:sz w:val="15"/>
                <w:szCs w:val="15"/>
              </w:rPr>
              <w:t>血常规、血红蛋白电泳和（或）地贫相关基因检测；</w:t>
            </w:r>
            <w:r>
              <w:rPr>
                <w:rFonts w:hint="eastAsia" w:ascii="Times New Roman" w:hAnsi="Times New Roman" w:cs="宋体"/>
                <w:color w:val="000000"/>
                <w:sz w:val="15"/>
                <w:szCs w:val="15"/>
              </w:rPr>
              <w:t>4.</w:t>
            </w:r>
            <w:r>
              <w:rPr>
                <w:rFonts w:hint="eastAsia" w:ascii="Times New Roman" w:hAnsi="宋体" w:cs="宋体"/>
                <w:color w:val="000000"/>
                <w:sz w:val="15"/>
                <w:szCs w:val="15"/>
              </w:rPr>
              <w:t>血清铁蛋白。</w:t>
            </w:r>
          </w:p>
        </w:tc>
      </w:tr>
      <w:tr>
        <w:tblPrEx>
          <w:tblCellMar>
            <w:top w:w="0" w:type="dxa"/>
            <w:left w:w="108" w:type="dxa"/>
            <w:bottom w:w="0" w:type="dxa"/>
            <w:right w:w="108" w:type="dxa"/>
          </w:tblCellMar>
        </w:tblPrEx>
        <w:trPr>
          <w:trHeight w:val="1088"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cs="宋体"/>
                <w:color w:val="000000"/>
                <w:sz w:val="15"/>
                <w:szCs w:val="15"/>
              </w:rPr>
            </w:pP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1556"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3319"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Times New Roman" w:hAnsi="Times New Roman" w:cs="宋体"/>
                <w:color w:val="000000"/>
                <w:sz w:val="15"/>
                <w:szCs w:val="15"/>
              </w:rPr>
            </w:pPr>
          </w:p>
        </w:tc>
        <w:tc>
          <w:tcPr>
            <w:tcW w:w="22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jc w:val="center"/>
              <w:rPr>
                <w:rFonts w:ascii="Times New Roman" w:hAnsi="Times New Roman" w:cs="宋体"/>
                <w:color w:val="000000"/>
                <w:sz w:val="15"/>
                <w:szCs w:val="15"/>
              </w:rPr>
            </w:pPr>
            <w:r>
              <w:rPr>
                <w:rFonts w:hint="eastAsia" w:ascii="Times New Roman" w:hAnsi="宋体" w:cs="宋体"/>
                <w:color w:val="000000"/>
                <w:sz w:val="15"/>
                <w:szCs w:val="15"/>
              </w:rPr>
              <w:t>输血依赖性疾病所致的铁过载</w:t>
            </w:r>
          </w:p>
        </w:tc>
        <w:tc>
          <w:tcPr>
            <w:tcW w:w="42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rPr>
                <w:rFonts w:ascii="Times New Roman" w:hAnsi="Times New Roman" w:cs="宋体"/>
                <w:color w:val="000000"/>
                <w:sz w:val="15"/>
                <w:szCs w:val="15"/>
              </w:rPr>
            </w:pPr>
            <w:r>
              <w:rPr>
                <w:rFonts w:hint="eastAsia" w:ascii="Times New Roman" w:hAnsi="Times New Roman" w:cs="宋体"/>
                <w:color w:val="000000"/>
                <w:sz w:val="15"/>
                <w:szCs w:val="15"/>
              </w:rPr>
              <w:t>1.</w:t>
            </w:r>
            <w:r>
              <w:rPr>
                <w:rFonts w:hint="eastAsia" w:ascii="Times New Roman" w:hAnsi="宋体" w:cs="宋体"/>
                <w:color w:val="000000"/>
                <w:sz w:val="15"/>
                <w:szCs w:val="15"/>
              </w:rPr>
              <w:t>病情诊断证明书（其他输血依赖性疾病：包括髓系肿瘤、恶性淋巴瘤、再生障碍性贫血、其他遗传性贫血）；</w:t>
            </w:r>
            <w:r>
              <w:rPr>
                <w:rFonts w:hint="eastAsia" w:ascii="Times New Roman" w:hAnsi="Times New Roman" w:cs="宋体"/>
                <w:color w:val="000000"/>
                <w:sz w:val="15"/>
                <w:szCs w:val="15"/>
              </w:rPr>
              <w:t>2.</w:t>
            </w:r>
            <w:r>
              <w:rPr>
                <w:rFonts w:hint="eastAsia" w:ascii="Times New Roman" w:hAnsi="宋体" w:cs="宋体"/>
                <w:color w:val="000000"/>
                <w:sz w:val="15"/>
                <w:szCs w:val="15"/>
              </w:rPr>
              <w:t>输血的病史资料；</w:t>
            </w:r>
            <w:r>
              <w:rPr>
                <w:rFonts w:hint="eastAsia" w:ascii="Times New Roman" w:hAnsi="Times New Roman" w:cs="宋体"/>
                <w:color w:val="000000"/>
                <w:sz w:val="15"/>
                <w:szCs w:val="15"/>
              </w:rPr>
              <w:t>3.</w:t>
            </w:r>
            <w:r>
              <w:rPr>
                <w:rFonts w:hint="eastAsia" w:ascii="Times New Roman" w:hAnsi="宋体" w:cs="宋体"/>
                <w:color w:val="000000"/>
                <w:sz w:val="15"/>
                <w:szCs w:val="15"/>
              </w:rPr>
              <w:t>血清铁蛋白。</w:t>
            </w:r>
          </w:p>
        </w:tc>
      </w:tr>
    </w:tbl>
    <w:p>
      <w:pPr>
        <w:spacing w:line="340" w:lineRule="exact"/>
      </w:pPr>
    </w:p>
    <w:p>
      <w:pPr>
        <w:spacing w:line="340" w:lineRule="exact"/>
        <w:rPr>
          <w:rFonts w:ascii="方正仿宋_GBK" w:eastAsia="方正仿宋_GBK"/>
          <w:sz w:val="32"/>
          <w:szCs w:val="32"/>
        </w:rPr>
      </w:pPr>
    </w:p>
    <w:p>
      <w:pPr>
        <w:snapToGrid w:val="0"/>
        <w:spacing w:line="340" w:lineRule="exact"/>
        <w:rPr>
          <w:rFonts w:ascii="Times New Roman" w:hAnsi="Times New Roman" w:eastAsia="方正小标宋_GBK" w:cs="方正小标宋_GBK"/>
          <w:sz w:val="44"/>
          <w:szCs w:val="44"/>
        </w:rPr>
      </w:pPr>
    </w:p>
    <w:p>
      <w:pPr>
        <w:spacing w:line="340" w:lineRule="exact"/>
        <w:rPr>
          <w:rFonts w:ascii="方正仿宋_GBK" w:eastAsia="方正仿宋_GBK"/>
          <w:sz w:val="32"/>
          <w:szCs w:val="32"/>
        </w:rPr>
      </w:pPr>
    </w:p>
    <w:p>
      <w:pPr>
        <w:spacing w:line="340" w:lineRule="exact"/>
        <w:rPr>
          <w:rFonts w:ascii="方正仿宋_GBK" w:eastAsia="方正仿宋_GBK"/>
          <w:vanish/>
          <w:sz w:val="32"/>
          <w:szCs w:val="32"/>
        </w:rPr>
      </w:pPr>
    </w:p>
    <w:p>
      <w:pPr>
        <w:spacing w:line="340" w:lineRule="exact"/>
        <w:rPr>
          <w:rFonts w:ascii="方正仿宋_GBK" w:eastAsia="方正仿宋_GBK"/>
          <w:vanish/>
          <w:sz w:val="32"/>
          <w:szCs w:val="32"/>
        </w:rPr>
        <w:sectPr>
          <w:footerReference r:id="rId7" w:type="default"/>
          <w:pgSz w:w="16838" w:h="11906" w:orient="landscape"/>
          <w:pgMar w:top="1588" w:right="2098" w:bottom="1843" w:left="1985" w:header="851" w:footer="992" w:gutter="0"/>
          <w:pgNumType w:fmt="decimal"/>
          <w:cols w:space="425" w:num="1"/>
          <w:docGrid w:type="linesAndChars" w:linePitch="312" w:charSpace="0"/>
        </w:sectPr>
      </w:pPr>
    </w:p>
    <w:p>
      <w:pPr>
        <w:spacing w:line="340" w:lineRule="exact"/>
        <w:rPr>
          <w:rFonts w:ascii="方正仿宋_GBK" w:eastAsia="方正仿宋_GBK"/>
          <w:vanish/>
          <w:sz w:val="32"/>
          <w:szCs w:val="32"/>
        </w:rPr>
      </w:pPr>
    </w:p>
    <w:p>
      <w:pPr>
        <w:rPr>
          <w:rFonts w:ascii="方正仿宋_GBK" w:eastAsia="方正仿宋_GBK"/>
          <w:vanish/>
          <w:sz w:val="32"/>
          <w:szCs w:val="32"/>
        </w:rPr>
      </w:pPr>
    </w:p>
    <w:sectPr>
      <w:pgSz w:w="11906" w:h="16838"/>
      <w:pgMar w:top="2098" w:right="1843"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hnschrift SemiLight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sdt>
    <w:sdtPr>
      <w:id w:val="6798805"/>
      <w:docPartObj>
        <w:docPartGallery w:val="autotext"/>
      </w:docPartObj>
    </w:sdtPr>
    <w:sdtEndPr>
      <w:rPr>
        <w:rFonts w:ascii="宋体" w:hAnsi="宋体"/>
        <w:sz w:val="28"/>
        <w:szCs w:val="28"/>
      </w:rPr>
    </w:sdtEndPr>
    <w:sdtContent>
      <w:p>
        <w:pPr>
          <w:pStyle w:val="4"/>
          <w:jc w:val="right"/>
        </w:pPr>
      </w:p>
      <w:p>
        <w:pPr>
          <w:pStyle w:val="4"/>
          <w:jc w:val="right"/>
          <w:rPr>
            <w:rFonts w:ascii="宋体" w:hAnsi="宋体"/>
            <w:sz w:val="28"/>
            <w:szCs w:val="2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9525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75pt;height:0.15pt;width:442.25pt;z-index:251660288;mso-width-relative:page;mso-height-relative:page;" filled="f" stroked="t" coordsize="21600,21600" o:gfxdata="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GdYf0QAAAAU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重庆市医疗保障局发布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8806"/>
      <w:docPartObj>
        <w:docPartGallery w:val="autotext"/>
      </w:docPartObj>
    </w:sdtPr>
    <w:sdtContent>
      <w:p>
        <w:pPr>
          <w:pStyle w:val="4"/>
        </w:pP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8"/>
      </w:rPr>
    </w:pPr>
  </w:p>
  <w:sdt>
    <w:sdtPr>
      <w:id w:val="6798805"/>
      <w:docPartObj>
        <w:docPartGallery w:val="autotext"/>
      </w:docPartObj>
    </w:sdtPr>
    <w:sdtEndPr>
      <w:rPr>
        <w:rFonts w:ascii="宋体" w:hAnsi="宋体"/>
        <w:sz w:val="28"/>
        <w:szCs w:val="28"/>
      </w:rPr>
    </w:sdtEndPr>
    <w:sdtContent>
      <w:p>
        <w:pPr>
          <w:pStyle w:val="4"/>
          <w:jc w:val="right"/>
        </w:pPr>
      </w:p>
      <w:p>
        <w:pPr>
          <w:pStyle w:val="4"/>
          <w:jc w:val="right"/>
          <w:rPr>
            <w:rFonts w:ascii="宋体" w:hAnsi="宋体"/>
            <w:sz w:val="28"/>
            <w:szCs w:val="28"/>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9525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75pt;height:0.15pt;width:442.25pt;z-index:251662336;mso-width-relative:page;mso-height-relative:page;" filled="f" stroked="t" coordsize="21600,21600" o:gfxdata="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RnWH9EAAAAF&#10;AQAADwAAAAAAAAABACAAAAAiAAAAZHJzL2Rvd25yZXYueG1sUEsBAhQAFAAAAAgAh07iQElIj5/q&#10;AQAAtQMAAA4AAAAAAAAAAQAgAAAAIA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重庆市医疗保障局发布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13719"/>
    <w:multiLevelType w:val="singleLevel"/>
    <w:tmpl w:val="5F2137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958C0"/>
    <w:rsid w:val="004375A7"/>
    <w:rsid w:val="00465ED9"/>
    <w:rsid w:val="006236DB"/>
    <w:rsid w:val="006251EB"/>
    <w:rsid w:val="00627C57"/>
    <w:rsid w:val="006761A9"/>
    <w:rsid w:val="006B01CA"/>
    <w:rsid w:val="006C28A5"/>
    <w:rsid w:val="006C716A"/>
    <w:rsid w:val="007358E2"/>
    <w:rsid w:val="00800B09"/>
    <w:rsid w:val="008A1FBB"/>
    <w:rsid w:val="009B43B7"/>
    <w:rsid w:val="00A8021B"/>
    <w:rsid w:val="00AC1CA7"/>
    <w:rsid w:val="00AD63D8"/>
    <w:rsid w:val="00BB0F49"/>
    <w:rsid w:val="00BD59F1"/>
    <w:rsid w:val="00C02CA9"/>
    <w:rsid w:val="00D822F4"/>
    <w:rsid w:val="00E10AF5"/>
    <w:rsid w:val="00E35B21"/>
    <w:rsid w:val="00E95DD5"/>
    <w:rsid w:val="00EA121A"/>
    <w:rsid w:val="00EC1B42"/>
    <w:rsid w:val="00ED7B72"/>
    <w:rsid w:val="00F65B11"/>
    <w:rsid w:val="00F713B4"/>
    <w:rsid w:val="1DAF7E71"/>
    <w:rsid w:val="796A7D41"/>
    <w:rsid w:val="7F011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pPr>
      <w:jc w:val="center"/>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2"/>
    <w:qFormat/>
    <w:uiPriority w:val="0"/>
    <w:rPr>
      <w:rFonts w:ascii="Times New Roman" w:hAnsi="Times New Roman" w:eastAsia="仿宋_GB2312"/>
      <w:b/>
      <w:color w:val="FF0000"/>
      <w:kern w:val="2"/>
      <w:sz w:val="44"/>
      <w:szCs w:val="32"/>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2133</Words>
  <Characters>12162</Characters>
  <Lines>101</Lines>
  <Paragraphs>28</Paragraphs>
  <TotalTime>0</TotalTime>
  <ScaleCrop>false</ScaleCrop>
  <LinksUpToDate>false</LinksUpToDate>
  <CharactersWithSpaces>14267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姚远</cp:lastModifiedBy>
  <dcterms:modified xsi:type="dcterms:W3CDTF">2022-06-22T09:48:09Z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06F5560B4FD546FA95F1B6D05540B720</vt:lpwstr>
  </property>
</Properties>
</file>