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580" w:lineRule="exact"/>
        <w:jc w:val="both"/>
        <w:rPr>
          <w:rFonts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bookmarkStart w:id="0" w:name="quanwen"/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shd w:val="clear" w:color="auto" w:fill="FFFFFF"/>
        <w:spacing w:line="580" w:lineRule="exact"/>
        <w:jc w:val="both"/>
        <w:rPr>
          <w:rFonts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承诺书（样本）</w:t>
      </w:r>
    </w:p>
    <w:p>
      <w:pPr>
        <w:spacing w:line="580" w:lineRule="exact"/>
        <w:ind w:firstLine="640" w:firstLineChars="200"/>
        <w:rPr>
          <w:rFonts w:ascii="Times New Roman" w:hAnsi="Times New Roman" w:cs="仿宋_GB2312"/>
          <w:color w:val="FF0000"/>
          <w:shd w:val="clear" w:color="auto" w:fill="FFFFFF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 xml:space="preserve">                   （单位名称）：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我单位自愿参加医保部门开展的集采药品“三进”，严格遵守各项制度，不断增强责任意识、质量意识、诚信意识和自律意识，并作出以下承诺：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一、落实国家、市药品集采相关政策，坚持群众利益至上原则，商业利益服从于公众利益，按“五统一”标准，配备销售集采药品：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（一）统一悬挂标牌，在醒目位置展示本单位配备的集采药品清单，提升辨识度；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（二）统一设置专区，规范集采药品管理；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（三）统一价格标识，采用双标签公示药品价格（集采药品中选价格、销售价格），集采药品按照中选价加价     %销售；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（四）统一销售价格承诺，严格落实药品价格政策；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（五）统一监督管理，在醒目位置公布医保部门咨询投诉电话，广泛接受群众监督。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二、所配备的集采药品种类达       种以上，并随着国家、省集采政策的推进逐步增加或调整。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三、集采药品销售专柜（区）设置在显著位置，并在单位门口向群众进行提示和引导。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四、参加集采药品“三进”时，向辖区医保部门提交申请书、承诺书，并按医保部门要求提供其他必要材料。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五、参加“三进”时间不少于一年，并按医保部门要求报送相关药品</w:t>
      </w:r>
      <w:r>
        <w:rPr>
          <w:rFonts w:hint="eastAsia" w:ascii="Times New Roman" w:hAnsi="Times New Roman" w:eastAsia="方正仿宋_GBK"/>
          <w:kern w:val="0"/>
          <w:lang w:eastAsia="zh-CN"/>
        </w:rPr>
        <w:t>需求量</w:t>
      </w:r>
      <w:r>
        <w:rPr>
          <w:rFonts w:hint="eastAsia" w:ascii="Times New Roman" w:hAnsi="Times New Roman" w:eastAsia="方正仿宋_GBK"/>
          <w:kern w:val="0"/>
        </w:rPr>
        <w:t>。一年期内，接受医保部门检查和考核，若出现违反承诺事项的情况，接受医保部门作出的暂停或取消参加集采的决定。被取消参加集采或中途自主申请退出的，本单位两年内不再参加集采。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六、按报送的需求量完成采购，并按规定结清药款。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七、加大对本单位工作人员集采政策解读和培训力度，确保工作人员熟悉药品集采政策，并向购药群众积极宣传集采政策。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八、保证集采药品销售专区仅配备中选厂家集采药品，杜绝用未中选厂家药品替代中选厂家集采药品。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此承诺书一式两份，医保部门和零售药店（村卫生室、民营医院）各执一份。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以上承诺坚决做到，如有违反，愿意接受相应的处理。</w:t>
      </w:r>
    </w:p>
    <w:p>
      <w:pPr>
        <w:spacing w:line="600" w:lineRule="exact"/>
        <w:jc w:val="left"/>
        <w:rPr>
          <w:rFonts w:ascii="Times New Roman" w:hAnsi="Times New Roman" w:eastAsia="方正仿宋_GBK"/>
          <w:kern w:val="0"/>
        </w:rPr>
      </w:pPr>
    </w:p>
    <w:p>
      <w:pPr>
        <w:spacing w:line="600" w:lineRule="exact"/>
        <w:ind w:firstLine="1920" w:firstLineChars="600"/>
        <w:jc w:val="center"/>
        <w:rPr>
          <w:rFonts w:ascii="Times New Roman" w:hAnsi="Times New Roman" w:eastAsia="方正仿宋_GBK"/>
          <w:kern w:val="0"/>
        </w:rPr>
      </w:pPr>
      <w:r>
        <w:rPr>
          <w:rFonts w:hint="eastAsia" w:ascii="Times New Roman" w:hAnsi="Times New Roman" w:eastAsia="方正仿宋_GBK"/>
          <w:kern w:val="0"/>
        </w:rPr>
        <w:t>承诺人（法定代表人或负责人签字）：</w:t>
      </w:r>
    </w:p>
    <w:p>
      <w:pPr>
        <w:ind w:firstLine="3200" w:firstLineChars="100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kern w:val="0"/>
        </w:rPr>
        <w:t>年   月   日</w:t>
      </w:r>
      <w:bookmarkEnd w:id="0"/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br w:type="page"/>
      </w:r>
    </w:p>
    <w:p>
      <w:pPr>
        <w:rPr>
          <w:vanish/>
          <w:sz w:val="32"/>
        </w:rPr>
      </w:pPr>
      <w:bookmarkStart w:id="2" w:name="_GoBack"/>
      <w:bookmarkEnd w:id="2"/>
    </w:p>
    <w:p>
      <w:pPr>
        <w:rPr>
          <w:vanish/>
          <w:sz w:val="32"/>
        </w:rPr>
      </w:pPr>
    </w:p>
    <w:p>
      <w:pPr>
        <w:jc w:val="right"/>
        <w:rPr>
          <w:vanish/>
          <w:sz w:val="32"/>
        </w:rPr>
      </w:pPr>
      <w:bookmarkStart w:id="1" w:name="公章"/>
      <w:bookmarkEnd w:id="1"/>
    </w:p>
    <w:p>
      <w:pPr>
        <w:rPr>
          <w:vanish/>
          <w:sz w:val="32"/>
        </w:rPr>
      </w:pPr>
    </w:p>
    <w:p>
      <w:pPr>
        <w:rPr>
          <w:vanish/>
          <w:sz w:val="32"/>
        </w:rPr>
      </w:pPr>
    </w:p>
    <w:p>
      <w:pPr>
        <w:rPr>
          <w:vanish/>
          <w:sz w:val="32"/>
        </w:rPr>
      </w:pPr>
    </w:p>
    <w:p>
      <w:pPr>
        <w:snapToGrid w:val="0"/>
        <w:spacing w:line="15" w:lineRule="auto"/>
        <w:rPr>
          <w:vanish/>
          <w:sz w:val="32"/>
        </w:rPr>
      </w:pPr>
    </w:p>
    <w:p>
      <w:pPr>
        <w:rPr>
          <w:vanish/>
          <w:sz w:val="32"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0837"/>
    <w:rsid w:val="00226C4F"/>
    <w:rsid w:val="002A1574"/>
    <w:rsid w:val="00503ED0"/>
    <w:rsid w:val="007B4CA7"/>
    <w:rsid w:val="007E2FAB"/>
    <w:rsid w:val="00A75A67"/>
    <w:rsid w:val="00A941B7"/>
    <w:rsid w:val="00BA74A2"/>
    <w:rsid w:val="00CC2F46"/>
    <w:rsid w:val="00CC4F63"/>
    <w:rsid w:val="00FD2057"/>
    <w:rsid w:val="035B6D1E"/>
    <w:rsid w:val="038C6DF8"/>
    <w:rsid w:val="05BD0878"/>
    <w:rsid w:val="0A2368BD"/>
    <w:rsid w:val="0D5A1664"/>
    <w:rsid w:val="0DFB2420"/>
    <w:rsid w:val="0E420837"/>
    <w:rsid w:val="10EC5132"/>
    <w:rsid w:val="134F6CFB"/>
    <w:rsid w:val="14D705EE"/>
    <w:rsid w:val="1885353E"/>
    <w:rsid w:val="1B272E11"/>
    <w:rsid w:val="2286111B"/>
    <w:rsid w:val="2D25001B"/>
    <w:rsid w:val="2E582732"/>
    <w:rsid w:val="42DC44BB"/>
    <w:rsid w:val="4A8338C9"/>
    <w:rsid w:val="51EA3A83"/>
    <w:rsid w:val="59D372A0"/>
    <w:rsid w:val="5F764093"/>
    <w:rsid w:val="613A7AEC"/>
    <w:rsid w:val="688F7197"/>
    <w:rsid w:val="6A7E3B2D"/>
    <w:rsid w:val="704E5A4D"/>
    <w:rsid w:val="74175B59"/>
    <w:rsid w:val="7D150B2D"/>
    <w:rsid w:val="7EC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仿宋_GB2312"/>
      <w:color w:val="000000"/>
      <w:kern w:val="2"/>
      <w:sz w:val="36"/>
      <w:szCs w:val="36"/>
      <w:lang w:val="en-US" w:eastAsia="zh-CN" w:bidi="ar-SA"/>
    </w:rPr>
  </w:style>
  <w:style w:type="paragraph" w:styleId="6">
    <w:name w:val="index 9"/>
    <w:next w:val="1"/>
    <w:qFormat/>
    <w:uiPriority w:val="99"/>
    <w:pPr>
      <w:widowControl w:val="0"/>
      <w:ind w:left="336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页眉 Char"/>
    <w:basedOn w:val="9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9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4354</Words>
  <Characters>307</Characters>
  <Lines>2</Lines>
  <Paragraphs>9</Paragraphs>
  <TotalTime>0</TotalTime>
  <ScaleCrop>false</ScaleCrop>
  <LinksUpToDate>false</LinksUpToDate>
  <CharactersWithSpaces>4652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2024-09-29T07:24:00Z</dcterms:created>
  <dc:creator>张镭</dc:creator>
  <cp:lastModifiedBy>张镭</cp:lastModifiedBy>
  <cp:lastPrinted>2024-10-12T07:35:00Z</cp:lastPrinted>
  <dcterms:modified xsi:type="dcterms:W3CDTF">2024-10-23T09:34:17Z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2CE7C3BF8A05488DAD9D21ACD399D805</vt:lpwstr>
  </property>
</Properties>
</file>