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_GBK" w:eastAsia="方正小标宋_GBK"/>
          <w:sz w:val="44"/>
          <w:szCs w:val="44"/>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_GBK" w:eastAsia="方正小标宋_GBK"/>
          <w:sz w:val="44"/>
          <w:szCs w:val="44"/>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ascii="方正小标宋_GBK" w:eastAsia="方正小标宋_GBK"/>
          <w:sz w:val="44"/>
          <w:szCs w:val="44"/>
        </w:rPr>
      </w:pPr>
      <w:r>
        <w:rPr>
          <w:rFonts w:hint="eastAsia" w:ascii="方正小标宋_GBK" w:eastAsia="方正小标宋_GBK"/>
          <w:sz w:val="44"/>
          <w:szCs w:val="44"/>
        </w:rPr>
        <w:t>重庆市医疗保障局</w:t>
      </w:r>
    </w:p>
    <w:p>
      <w:pPr>
        <w:keepNext w:val="0"/>
        <w:keepLines w:val="0"/>
        <w:pageBreakBefore w:val="0"/>
        <w:kinsoku/>
        <w:wordWrap/>
        <w:overflowPunct/>
        <w:topLinePunct w:val="0"/>
        <w:autoSpaceDE/>
        <w:autoSpaceDN/>
        <w:bidi w:val="0"/>
        <w:adjustRightInd/>
        <w:snapToGrid/>
        <w:spacing w:line="540" w:lineRule="exact"/>
        <w:jc w:val="center"/>
        <w:textAlignment w:val="auto"/>
        <w:rPr>
          <w:rFonts w:ascii="方正小标宋_GBK" w:eastAsia="方正小标宋_GBK"/>
          <w:sz w:val="44"/>
          <w:szCs w:val="44"/>
        </w:rPr>
      </w:pPr>
      <w:r>
        <w:rPr>
          <w:rFonts w:hint="eastAsia" w:ascii="方正小标宋_GBK" w:eastAsia="方正小标宋_GBK"/>
          <w:sz w:val="44"/>
          <w:szCs w:val="44"/>
        </w:rPr>
        <w:t>重庆市财政局</w:t>
      </w:r>
    </w:p>
    <w:p>
      <w:pPr>
        <w:keepNext w:val="0"/>
        <w:keepLines w:val="0"/>
        <w:pageBreakBefore w:val="0"/>
        <w:kinsoku/>
        <w:wordWrap/>
        <w:overflowPunct/>
        <w:topLinePunct w:val="0"/>
        <w:autoSpaceDE/>
        <w:autoSpaceDN/>
        <w:bidi w:val="0"/>
        <w:adjustRightInd/>
        <w:snapToGrid/>
        <w:spacing w:line="540" w:lineRule="exact"/>
        <w:jc w:val="center"/>
        <w:textAlignment w:val="auto"/>
        <w:rPr>
          <w:rFonts w:ascii="方正小标宋_GBK" w:eastAsia="方正小标宋_GBK"/>
          <w:sz w:val="44"/>
          <w:szCs w:val="44"/>
        </w:rPr>
      </w:pPr>
      <w:r>
        <w:rPr>
          <w:rFonts w:hint="eastAsia" w:ascii="方正小标宋_GBK" w:eastAsia="方正小标宋_GBK"/>
          <w:sz w:val="44"/>
          <w:szCs w:val="44"/>
        </w:rPr>
        <w:t>重庆市卫生健康委员会</w:t>
      </w:r>
    </w:p>
    <w:p>
      <w:pPr>
        <w:keepNext w:val="0"/>
        <w:keepLines w:val="0"/>
        <w:pageBreakBefore w:val="0"/>
        <w:kinsoku/>
        <w:wordWrap/>
        <w:overflowPunct/>
        <w:topLinePunct w:val="0"/>
        <w:autoSpaceDE/>
        <w:autoSpaceDN/>
        <w:bidi w:val="0"/>
        <w:adjustRightInd/>
        <w:snapToGrid/>
        <w:spacing w:line="540" w:lineRule="exact"/>
        <w:jc w:val="center"/>
        <w:textAlignment w:val="auto"/>
        <w:rPr>
          <w:rFonts w:ascii="方正小标宋_GBK" w:eastAsia="方正小标宋_GBK"/>
          <w:sz w:val="44"/>
          <w:szCs w:val="44"/>
        </w:rPr>
      </w:pPr>
      <w:r>
        <w:rPr>
          <w:rFonts w:hint="eastAsia" w:ascii="方正小标宋_GBK" w:eastAsia="方正小标宋_GBK"/>
          <w:sz w:val="44"/>
          <w:szCs w:val="44"/>
        </w:rPr>
        <w:t>关于印发《重庆市医院日间手术基本医疗保险试点工作方案》的通知</w:t>
      </w:r>
    </w:p>
    <w:p>
      <w:pPr>
        <w:keepNext w:val="0"/>
        <w:keepLines w:val="0"/>
        <w:pageBreakBefore w:val="0"/>
        <w:kinsoku/>
        <w:wordWrap/>
        <w:overflowPunct/>
        <w:topLinePunct w:val="0"/>
        <w:autoSpaceDE/>
        <w:autoSpaceDN/>
        <w:bidi w:val="0"/>
        <w:adjustRightInd/>
        <w:snapToGrid/>
        <w:spacing w:line="620" w:lineRule="exact"/>
        <w:ind w:firstLine="160" w:firstLineChars="50"/>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渝医保发〔2019〕2号</w:t>
      </w:r>
    </w:p>
    <w:p>
      <w:pPr>
        <w:keepNext w:val="0"/>
        <w:keepLines w:val="0"/>
        <w:pageBreakBefore w:val="0"/>
        <w:kinsoku/>
        <w:wordWrap/>
        <w:overflowPunct/>
        <w:topLinePunct w:val="0"/>
        <w:bidi w:val="0"/>
        <w:snapToGrid/>
        <w:spacing w:line="620" w:lineRule="exact"/>
        <w:jc w:val="center"/>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val="0"/>
        <w:autoSpaceDN w:val="0"/>
        <w:bidi w:val="0"/>
        <w:adjustRightInd w:val="0"/>
        <w:snapToGrid/>
        <w:spacing w:line="640" w:lineRule="exact"/>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各区县（自治县）医保局（人力社保局）、财政局、卫生健康委（卫生计生委），两江新区社会保障局、财政局、社会发展局，万盛经开区人力社保局、财政局、卫生计生局，相关医疗机构：</w:t>
      </w:r>
    </w:p>
    <w:p>
      <w:pPr>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进一步深化基本医疗保险支付方式改革，根据《国务院办公厅关于进一步深化基本医疗保险支付方式改革的指导意见》（国办发〔2017〕55号）和《重庆市人民政府办公厅关于印发重庆市进一步深化基本医疗保险支付方式改革实施方案的通知》（渝府办发〔2018〕114号）等文件精神，推进日间手术模式是公立医院综合改革的重要内容，有利于提升医院管理水平，提高医疗服务效率，控制医疗费用</w:t>
      </w:r>
      <w:r>
        <w:rPr>
          <w:rFonts w:hint="eastAsia" w:ascii="Times New Roman" w:hAnsi="Times New Roman" w:eastAsia="方正仿宋_GBK" w:cs="方正仿宋_GBK"/>
          <w:color w:val="000000"/>
          <w:sz w:val="32"/>
          <w:szCs w:val="32"/>
        </w:rPr>
        <w:t>，确保患者就医获得感进一步提高。</w:t>
      </w:r>
      <w:r>
        <w:rPr>
          <w:rFonts w:hint="eastAsia" w:ascii="Times New Roman" w:hAnsi="Times New Roman" w:eastAsia="方正仿宋_GBK" w:cs="方正仿宋_GBK"/>
          <w:sz w:val="32"/>
          <w:szCs w:val="32"/>
        </w:rPr>
        <w:t>经重庆市医疗保障局、重庆市财政局、重庆市卫生健康委员会共同研究，特制定《重庆市医院日间手术基本医疗保险试点工作方案》，请遵照执行。</w:t>
      </w: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重庆市医疗保障局             重 庆 市 财 政 局</w:t>
      </w: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640" w:lineRule="exact"/>
        <w:jc w:val="center"/>
        <w:textAlignment w:val="auto"/>
        <w:rPr>
          <w:rFonts w:hint="eastAsia" w:ascii="Times New Roman" w:hAnsi="Times New Roman" w:eastAsia="方正仿宋_GBK" w:cs="方正仿宋_GBK"/>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 xml:space="preserve">    重庆市卫生健康委员会</w:t>
      </w:r>
    </w:p>
    <w:p>
      <w:pPr>
        <w:keepNext w:val="0"/>
        <w:keepLines w:val="0"/>
        <w:pageBreakBefore w:val="0"/>
        <w:widowControl w:val="0"/>
        <w:kinsoku/>
        <w:wordWrap/>
        <w:overflowPunct/>
        <w:topLinePunct w:val="0"/>
        <w:autoSpaceDE w:val="0"/>
        <w:autoSpaceDN w:val="0"/>
        <w:bidi w:val="0"/>
        <w:adjustRightInd w:val="0"/>
        <w:snapToGrid/>
        <w:spacing w:line="640" w:lineRule="exact"/>
        <w:ind w:left="210" w:leftChars="100" w:right="210" w:rightChars="100"/>
        <w:jc w:val="center"/>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 xml:space="preserve">    2019年1月15日</w:t>
      </w: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widowControl/>
        <w:spacing w:line="560" w:lineRule="exact"/>
        <w:jc w:val="center"/>
        <w:rPr>
          <w:rFonts w:ascii="Times New Roman" w:hAnsi="Times New Roman" w:cs="宋体"/>
          <w:szCs w:val="32"/>
        </w:rPr>
      </w:pPr>
    </w:p>
    <w:p>
      <w:pPr>
        <w:keepNext w:val="0"/>
        <w:keepLines w:val="0"/>
        <w:pageBreakBefore w:val="0"/>
        <w:widowControl/>
        <w:kinsoku/>
        <w:wordWrap/>
        <w:overflowPunct/>
        <w:topLinePunct w:val="0"/>
        <w:autoSpaceDE/>
        <w:autoSpaceDN/>
        <w:bidi w:val="0"/>
        <w:adjustRightInd/>
        <w:snapToGrid w:val="0"/>
        <w:spacing w:line="540" w:lineRule="exact"/>
        <w:jc w:val="center"/>
        <w:textAlignment w:val="auto"/>
        <w:rPr>
          <w:rFonts w:hint="eastAsia" w:ascii="方正小标宋_GBK" w:hAnsi="方正小标宋_GBK" w:eastAsia="方正小标宋_GBK" w:cs="方正小标宋_GBK"/>
          <w:sz w:val="44"/>
          <w:szCs w:val="44"/>
        </w:rPr>
        <w:sectPr>
          <w:headerReference r:id="rId3" w:type="default"/>
          <w:footerReference r:id="rId4" w:type="default"/>
          <w:pgSz w:w="11906" w:h="16838"/>
          <w:pgMar w:top="1962" w:right="1474" w:bottom="1848" w:left="1587" w:header="851" w:footer="992" w:gutter="0"/>
          <w:pgNumType w:fmt="decimal"/>
          <w:cols w:space="720" w:num="1"/>
          <w:docGrid w:type="lines" w:linePitch="439" w:charSpace="0"/>
        </w:sectPr>
      </w:pPr>
    </w:p>
    <w:p>
      <w:pPr>
        <w:keepNext w:val="0"/>
        <w:keepLines w:val="0"/>
        <w:pageBreakBefore w:val="0"/>
        <w:widowControl/>
        <w:kinsoku/>
        <w:wordWrap/>
        <w:overflowPunct/>
        <w:topLinePunct w:val="0"/>
        <w:autoSpaceDE/>
        <w:autoSpaceDN/>
        <w:bidi w:val="0"/>
        <w:adjustRightInd/>
        <w:snapToGrid w:val="0"/>
        <w:spacing w:line="54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kinsoku/>
        <w:wordWrap/>
        <w:overflowPunct/>
        <w:topLinePunct w:val="0"/>
        <w:autoSpaceDE/>
        <w:autoSpaceDN/>
        <w:bidi w:val="0"/>
        <w:adjustRightInd/>
        <w:snapToGrid w:val="0"/>
        <w:spacing w:line="54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重庆市医院日间手术基本医疗保险</w:t>
      </w:r>
    </w:p>
    <w:p>
      <w:pPr>
        <w:keepNext w:val="0"/>
        <w:keepLines w:val="0"/>
        <w:pageBreakBefore w:val="0"/>
        <w:widowControl/>
        <w:kinsoku/>
        <w:wordWrap/>
        <w:overflowPunct/>
        <w:topLinePunct w:val="0"/>
        <w:autoSpaceDE/>
        <w:autoSpaceDN/>
        <w:bidi w:val="0"/>
        <w:adjustRightInd/>
        <w:snapToGrid w:val="0"/>
        <w:spacing w:line="54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试点工作方案</w:t>
      </w:r>
    </w:p>
    <w:p>
      <w:pPr>
        <w:snapToGrid w:val="0"/>
        <w:spacing w:line="600" w:lineRule="exact"/>
        <w:ind w:firstLine="420" w:firstLineChars="200"/>
        <w:rPr>
          <w:rFonts w:ascii="仿宋" w:hAnsi="仿宋" w:eastAsia="仿宋" w:cs="仿宋_GB2312"/>
          <w:szCs w:val="32"/>
        </w:rPr>
      </w:pP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开展三级医院日间手术服务模式是深入贯彻党中央、国务院和市委、市政府深化医药卫生体制改革、推进重庆市医疗保险支付方式改革和改善医疗服务质量的重要内容，能有效提高医疗保险基金使用效率，更好地保障广大人民群众基本医疗需求。经重庆市医疗保障局、重庆市财政局、重庆市卫生健康委员会共同研究，决定开展重庆市医院日间手术改革试点工作，特制定本方案。</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一、实施医院范围</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确定重庆医科大学附属第一医院、重庆医科大学附属第二医院、重庆医科大学附属儿童医院、重庆三峡中心医院、重庆市涪陵中心医院等5家医院为首批试点医院，根据试点情况，适时将实施范围扩大到符合条件的三级医疗机构。</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二、试点日间手术范围</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本方案所指日间手术是指临床诊断明确的患者在24小时内完成计划性住院、手术、术后短暂观察并出院的一种手术模式。</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遵循诊疗技术成熟、质量安全可控，符合医院诊疗水平和功能定位的原则，经专家研究论证，制定了第一批日间手术医保报销目录（附件1），实施了目录内日间手术的相关病种纳入医保报销范围。试点医院可结合实际，自主选择病种开展日间手术。鼓励各试点医院结合自身实际情况和诊疗需求，开展不在目录内的日间手术。需开展目录外日间手术的试点医院填写《重庆市日间手术表》（附件3），报市医疗保障局、市卫生健康委。市医疗保障局、市卫生健康委将根据各医疗机构试点工作推进情况，逐步扩大日间手术医保报销范围。</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三、费用结算管理</w:t>
      </w:r>
    </w:p>
    <w:p>
      <w:pPr>
        <w:keepNext w:val="0"/>
        <w:keepLines w:val="0"/>
        <w:pageBreakBefore w:val="0"/>
        <w:widowControl/>
        <w:kinsoku/>
        <w:wordWrap/>
        <w:overflowPunct/>
        <w:topLinePunct w:val="0"/>
        <w:autoSpaceDE/>
        <w:autoSpaceDN/>
        <w:bidi w:val="0"/>
        <w:adjustRightInd/>
        <w:snapToGrid w:val="0"/>
        <w:spacing w:line="600" w:lineRule="exact"/>
        <w:ind w:firstLine="630"/>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（一）医保支付政策</w:t>
      </w:r>
    </w:p>
    <w:p>
      <w:pPr>
        <w:keepNext w:val="0"/>
        <w:keepLines w:val="0"/>
        <w:pageBreakBefore w:val="0"/>
        <w:widowControl/>
        <w:kinsoku/>
        <w:wordWrap/>
        <w:overflowPunct/>
        <w:topLinePunct w:val="0"/>
        <w:autoSpaceDE/>
        <w:autoSpaceDN/>
        <w:bidi w:val="0"/>
        <w:adjustRightInd/>
        <w:snapToGrid w:val="0"/>
        <w:spacing w:line="600" w:lineRule="exact"/>
        <w:ind w:firstLine="63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定额支付。对于《重庆市物价局重庆市卫生和计划生育委员会重庆市人力资源和社会保障局关于完善和扩大按病种收费的通知》（渝价规〔2017〕7号）文件已经制定了收付费标准的日间手术及病种（附件2），试点医院可以根据自身条件选择相应病种开展工作，我市城镇职工医保、城乡居民医保参保人员发生的费用，医疗保险基金按单病种结算办法进行定额结算（结算标准包含所有住院费用，术前检验检查、术后治疗费用不再收取）。</w:t>
      </w:r>
    </w:p>
    <w:p>
      <w:pPr>
        <w:keepNext w:val="0"/>
        <w:keepLines w:val="0"/>
        <w:pageBreakBefore w:val="0"/>
        <w:widowControl/>
        <w:kinsoku/>
        <w:wordWrap/>
        <w:overflowPunct/>
        <w:topLinePunct w:val="0"/>
        <w:autoSpaceDE/>
        <w:autoSpaceDN/>
        <w:bidi w:val="0"/>
        <w:adjustRightInd/>
        <w:snapToGrid w:val="0"/>
        <w:spacing w:line="600" w:lineRule="exact"/>
        <w:ind w:firstLine="63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对于新增纳入医保住院费用结算的日间手术病种，试点期间医疗保险基金实行项目结算。我市城镇职工医保、城乡居民医保参保人员，在试点医院发生的符合医保政策范围内的日间手术诊疗费用和药品费用，按规定纳入住院费用结算。包括日间手术住院期间费用以及日间手术住院前1周和出院后1周的门诊费用（在同一医院发生的与本次日间手术直接相关的门诊术前检查、化验、诊疗费用和术后换药、拔管、拆线的治疗费用）。</w:t>
      </w:r>
    </w:p>
    <w:p>
      <w:pPr>
        <w:keepNext w:val="0"/>
        <w:keepLines w:val="0"/>
        <w:pageBreakBefore w:val="0"/>
        <w:widowControl/>
        <w:kinsoku/>
        <w:wordWrap/>
        <w:overflowPunct/>
        <w:topLinePunct w:val="0"/>
        <w:autoSpaceDE/>
        <w:autoSpaceDN/>
        <w:bidi w:val="0"/>
        <w:adjustRightInd/>
        <w:snapToGrid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纳入医保住院费用结算的日间手术，结算时参保人员不承担医疗保险基金住院起付标准费用。相关费用明细归入该日间手术病历留存。探索将适宜的日间手术病种纳入按病种收付费范围，合理测算确定日间手术按病种收费和医保付费标准。</w:t>
      </w:r>
    </w:p>
    <w:p>
      <w:pPr>
        <w:keepNext w:val="0"/>
        <w:keepLines w:val="0"/>
        <w:pageBreakBefore w:val="0"/>
        <w:widowControl/>
        <w:kinsoku/>
        <w:wordWrap/>
        <w:overflowPunct/>
        <w:topLinePunct w:val="0"/>
        <w:autoSpaceDE/>
        <w:autoSpaceDN/>
        <w:bidi w:val="0"/>
        <w:adjustRightInd/>
        <w:snapToGrid w:val="0"/>
        <w:spacing w:line="600" w:lineRule="exact"/>
        <w:ind w:firstLine="630"/>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（二）费用结算方法</w:t>
      </w:r>
    </w:p>
    <w:p>
      <w:pPr>
        <w:keepNext w:val="0"/>
        <w:keepLines w:val="0"/>
        <w:pageBreakBefore w:val="0"/>
        <w:widowControl/>
        <w:kinsoku/>
        <w:wordWrap/>
        <w:overflowPunct/>
        <w:topLinePunct w:val="0"/>
        <w:autoSpaceDE/>
        <w:autoSpaceDN/>
        <w:bidi w:val="0"/>
        <w:adjustRightInd/>
        <w:snapToGrid w:val="0"/>
        <w:spacing w:line="600" w:lineRule="exact"/>
        <w:ind w:firstLine="645"/>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医疗机构与符合日间手术治疗的患者签订《重庆市××医院日间手术同意书》（附件4），及时办理日间手术登记手续，并在1周内住院行日间手术治疗。超过1周期限的术前门诊费用和院后治疗费用不纳入日间手术费用结算，按门诊费用结算。</w:t>
      </w:r>
    </w:p>
    <w:p>
      <w:pPr>
        <w:keepNext w:val="0"/>
        <w:keepLines w:val="0"/>
        <w:pageBreakBefore w:val="0"/>
        <w:widowControl/>
        <w:kinsoku/>
        <w:wordWrap/>
        <w:overflowPunct/>
        <w:topLinePunct w:val="0"/>
        <w:autoSpaceDE/>
        <w:autoSpaceDN/>
        <w:bidi w:val="0"/>
        <w:adjustRightInd/>
        <w:snapToGrid w:val="0"/>
        <w:spacing w:line="600" w:lineRule="exact"/>
        <w:ind w:firstLine="63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若日间手术患者住院期间出现并发症或其他意外情况，难以在入院24小时内出院的病人，可退出日间手术管理转普通住院，其日间手术诊疗费用（含门诊术前检查、化验、诊疗费用）与后续住院费用合并结算。</w:t>
      </w:r>
    </w:p>
    <w:p>
      <w:pPr>
        <w:keepNext w:val="0"/>
        <w:keepLines w:val="0"/>
        <w:pageBreakBefore w:val="0"/>
        <w:widowControl/>
        <w:kinsoku/>
        <w:wordWrap/>
        <w:overflowPunct/>
        <w:topLinePunct w:val="0"/>
        <w:autoSpaceDE/>
        <w:autoSpaceDN/>
        <w:bidi w:val="0"/>
        <w:adjustRightInd/>
        <w:snapToGrid w:val="0"/>
        <w:spacing w:line="600" w:lineRule="exact"/>
        <w:ind w:firstLine="630"/>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（三）费用结算管理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开展日间手术的医疗机构要按照医保经办机构要求，完成医疗机构内相关系统改造，及时、准确上传日间手术术前检验检查及日间手术住院期间的项目明细，并按规定做好费用结算，优化报销流程。</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医保经办机构与医疗机构签订《重庆市医疗保险日间手术服务协议》，强化日常管理和年度考核。日间手术相关费用纳入试点医疗机构年度医保基金总额预算范围，按月结算，年终清算。</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四、质量安全管理</w:t>
      </w:r>
    </w:p>
    <w:p>
      <w:pPr>
        <w:keepNext w:val="0"/>
        <w:keepLines w:val="0"/>
        <w:pageBreakBefore w:val="0"/>
        <w:widowControl/>
        <w:kinsoku/>
        <w:wordWrap/>
        <w:overflowPunct/>
        <w:topLinePunct w:val="0"/>
        <w:autoSpaceDE/>
        <w:autoSpaceDN/>
        <w:bidi w:val="0"/>
        <w:adjustRightInd/>
        <w:snapToGrid w:val="0"/>
        <w:spacing w:line="600" w:lineRule="exact"/>
        <w:ind w:firstLine="480" w:firstLineChars="15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Cs/>
          <w:sz w:val="32"/>
          <w:szCs w:val="32"/>
        </w:rPr>
        <w:t>（一）加强组织管理。</w:t>
      </w:r>
      <w:r>
        <w:rPr>
          <w:rFonts w:hint="eastAsia" w:ascii="Times New Roman" w:hAnsi="Times New Roman" w:eastAsia="方正仿宋_GBK" w:cs="方正仿宋_GBK"/>
          <w:sz w:val="32"/>
          <w:szCs w:val="32"/>
        </w:rPr>
        <w:t>各试点医院要成立日间手术管理委员会，由医务管理部门在管理委员会的指导下负责医院日间手术的管理，做好日间手术管理制度的制定并组织实施。日间手术中心或日间手术室可以独立设置，也可在现有手术室预留手术间。独立设置的日间手术室或日间手术中心应符合相关技术规定要求。</w:t>
      </w:r>
    </w:p>
    <w:p>
      <w:pPr>
        <w:keepNext w:val="0"/>
        <w:keepLines w:val="0"/>
        <w:pageBreakBefore w:val="0"/>
        <w:widowControl/>
        <w:kinsoku/>
        <w:wordWrap/>
        <w:overflowPunct/>
        <w:topLinePunct w:val="0"/>
        <w:autoSpaceDE/>
        <w:autoSpaceDN/>
        <w:bidi w:val="0"/>
        <w:adjustRightInd/>
        <w:snapToGrid w:val="0"/>
        <w:spacing w:line="600" w:lineRule="exact"/>
        <w:ind w:firstLine="480" w:firstLineChars="15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Cs/>
          <w:sz w:val="32"/>
          <w:szCs w:val="32"/>
        </w:rPr>
        <w:t>（二）完善制度流程。</w:t>
      </w:r>
      <w:r>
        <w:rPr>
          <w:rFonts w:hint="eastAsia" w:ascii="Times New Roman" w:hAnsi="Times New Roman" w:eastAsia="方正仿宋_GBK" w:cs="方正仿宋_GBK"/>
          <w:sz w:val="32"/>
          <w:szCs w:val="32"/>
        </w:rPr>
        <w:t>试点医院要按照手术操作指南或规范、标准和卫生健康部门组织制定的相关病种临床路径，制定和完善本单位日间手术质量管理制度，进一步明确各病种及术式适应症、禁忌症，优化患者就诊流程，规范出院后康复指导等；建立日间手术人员岗位责任，明确岗位职责，加强日间手术质量、技术操作管理。试点医院严格医务人员资质准入和患者遴选；制定应急预案，加强质量管理，细化质控标准，开展督导检查，加强关键部门、关键环节管理，保障医疗质量和安全；鼓励建立日间手术院内绿色通道和与社区医疗机构无缝化对接的双向转诊通道，确保日间手术流程规范、运行顺畅，全面做好日间手术的监管工作。</w:t>
      </w:r>
    </w:p>
    <w:p>
      <w:pPr>
        <w:keepNext w:val="0"/>
        <w:keepLines w:val="0"/>
        <w:pageBreakBefore w:val="0"/>
        <w:widowControl/>
        <w:kinsoku/>
        <w:wordWrap/>
        <w:overflowPunct/>
        <w:topLinePunct w:val="0"/>
        <w:autoSpaceDE/>
        <w:autoSpaceDN/>
        <w:bidi w:val="0"/>
        <w:adjustRightInd/>
        <w:snapToGrid w:val="0"/>
        <w:spacing w:line="600" w:lineRule="exact"/>
        <w:ind w:firstLine="645"/>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Cs/>
          <w:sz w:val="32"/>
          <w:szCs w:val="32"/>
        </w:rPr>
        <w:t>（三）规范诊疗行为。</w:t>
      </w:r>
      <w:r>
        <w:rPr>
          <w:rFonts w:hint="eastAsia" w:ascii="Times New Roman" w:hAnsi="Times New Roman" w:eastAsia="方正仿宋_GBK" w:cs="方正仿宋_GBK"/>
          <w:sz w:val="32"/>
          <w:szCs w:val="32"/>
        </w:rPr>
        <w:t>各试点医院要认真组织实施日间手术试点工作，提高医疗效率，加强环节控制，规范诊疗行为，控制和降低手术和住院费用。规范日间手术病历的书写和管理，确保病历质量。要结合深入开展“进一步改善医疗服务行动计划”，逐步扩大日间手术病种范围，缩短患者等待住院和等待手术时间，提高医疗服务效率。</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五、实施时间</w:t>
      </w:r>
    </w:p>
    <w:p>
      <w:pPr>
        <w:keepNext w:val="0"/>
        <w:keepLines w:val="0"/>
        <w:pageBreakBefore w:val="0"/>
        <w:widowControl/>
        <w:kinsoku/>
        <w:wordWrap/>
        <w:overflowPunct/>
        <w:topLinePunct w:val="0"/>
        <w:autoSpaceDE/>
        <w:autoSpaceDN/>
        <w:bidi w:val="0"/>
        <w:adjustRightInd/>
        <w:snapToGrid w:val="0"/>
        <w:spacing w:line="600" w:lineRule="exact"/>
        <w:ind w:firstLine="645"/>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我市日间手术医保报销工作自2019年4月1日起试行，根据试点情况认真总结，适时调整试点日间手术病种及医疗机构范围。</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六、部门职责及要求</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Cs/>
          <w:sz w:val="32"/>
          <w:szCs w:val="32"/>
        </w:rPr>
        <w:t>（一）医疗机构职责。</w:t>
      </w:r>
      <w:r>
        <w:rPr>
          <w:rFonts w:hint="eastAsia" w:ascii="Times New Roman" w:hAnsi="Times New Roman" w:eastAsia="方正仿宋_GBK" w:cs="方正仿宋_GBK"/>
          <w:sz w:val="32"/>
          <w:szCs w:val="32"/>
        </w:rPr>
        <w:t>日间手术对于引导医疗机构进一步加强内部管理，优化服务流程，提高服务效率具有重要意义。各医疗机构要切实加强组织领导，将日间手术纳入日常工作重点，建立部门协调推进机制，加强日间手术管理、指导、监督和评估。</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Cs/>
          <w:sz w:val="32"/>
          <w:szCs w:val="32"/>
        </w:rPr>
        <w:t>（二）行政部门职责。</w:t>
      </w:r>
      <w:r>
        <w:rPr>
          <w:rFonts w:hint="eastAsia" w:ascii="Times New Roman" w:hAnsi="Times New Roman" w:eastAsia="方正仿宋_GBK" w:cs="方正仿宋_GBK"/>
          <w:sz w:val="32"/>
          <w:szCs w:val="32"/>
        </w:rPr>
        <w:t>卫生健康行政部门要加强对日间手术的组织和管理，建立完善日间手术管理制度和技术文件，规范诊疗行为，控制医疗费用。医疗保障部门要给予政策支持，鼓励将日间手术纳入按病种付费范围，并合理确定病种支付标准，要做好相关医保信息系统改造和费用结算工作，规范日间手术费用结算和报销流程，指导有关医疗机构准确上传费用明细。</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Cs/>
          <w:sz w:val="32"/>
          <w:szCs w:val="32"/>
        </w:rPr>
        <w:t>（三）有关要求。</w:t>
      </w:r>
      <w:r>
        <w:rPr>
          <w:rFonts w:hint="eastAsia" w:ascii="Times New Roman" w:hAnsi="Times New Roman" w:eastAsia="方正仿宋_GBK" w:cs="方正仿宋_GBK"/>
          <w:sz w:val="32"/>
          <w:szCs w:val="32"/>
        </w:rPr>
        <w:t>市医疗保障局、市卫生健康委探索建立日间手术效果评估机制和绩效考核方法，综合评估质量、安全、效率、经济与社会效益等因素。利用信息化手段开展数据分析，及时发现并解决工作中遇到的问题，及时总结和推广有益经验。各医疗机构要通过多种途径积极宣传引导日间手术，不断提高患者日间手术参与度、满意度和获得感。</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附件：1．重庆市第一批日间手术目录</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2．重庆市定额收付费日间手术目录</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3．重庆市目录外日间手术表</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4．重庆市××医院日间手术同意书</w:t>
      </w:r>
    </w:p>
    <w:p>
      <w:pPr>
        <w:keepNext w:val="0"/>
        <w:keepLines w:val="0"/>
        <w:pageBreakBefore w:val="0"/>
        <w:widowControl/>
        <w:kinsoku/>
        <w:wordWrap/>
        <w:overflowPunct/>
        <w:topLinePunct w:val="0"/>
        <w:autoSpaceDE/>
        <w:autoSpaceDN/>
        <w:bidi w:val="0"/>
        <w:adjustRightInd/>
        <w:snapToGrid w:val="0"/>
        <w:spacing w:line="600" w:lineRule="exact"/>
        <w:textAlignment w:val="auto"/>
        <w:rPr>
          <w:rFonts w:hint="eastAsia" w:ascii="Times New Roman" w:hAnsi="Times New Roman" w:eastAsia="方正仿宋_GBK" w:cs="方正仿宋_GBK"/>
          <w:sz w:val="32"/>
          <w:szCs w:val="32"/>
        </w:rPr>
      </w:pPr>
    </w:p>
    <w:p>
      <w:pPr>
        <w:keepNext w:val="0"/>
        <w:keepLines w:val="0"/>
        <w:pageBreakBefore w:val="0"/>
        <w:widowControl/>
        <w:kinsoku/>
        <w:wordWrap/>
        <w:overflowPunct/>
        <w:topLinePunct w:val="0"/>
        <w:autoSpaceDE/>
        <w:autoSpaceDN/>
        <w:bidi w:val="0"/>
        <w:adjustRightInd/>
        <w:snapToGrid w:val="0"/>
        <w:spacing w:line="600" w:lineRule="exact"/>
        <w:textAlignment w:val="auto"/>
        <w:rPr>
          <w:rFonts w:hint="eastAsia" w:ascii="Times New Roman" w:hAnsi="Times New Roman" w:eastAsia="方正仿宋_GBK" w:cs="方正仿宋_GBK"/>
          <w:sz w:val="32"/>
          <w:szCs w:val="32"/>
        </w:rPr>
      </w:pPr>
    </w:p>
    <w:p>
      <w:pPr>
        <w:keepNext w:val="0"/>
        <w:keepLines w:val="0"/>
        <w:pageBreakBefore w:val="0"/>
        <w:kinsoku/>
        <w:wordWrap/>
        <w:overflowPunct/>
        <w:topLinePunct w:val="0"/>
        <w:autoSpaceDE/>
        <w:autoSpaceDN/>
        <w:bidi w:val="0"/>
        <w:adjustRightInd/>
        <w:snapToGrid w:val="0"/>
        <w:spacing w:line="600" w:lineRule="exact"/>
        <w:textAlignment w:val="auto"/>
        <w:rPr>
          <w:rFonts w:hint="eastAsia" w:ascii="Times New Roman" w:hAnsi="Times New Roman" w:eastAsia="方正仿宋_GBK" w:cs="方正仿宋_GBK"/>
          <w:sz w:val="32"/>
          <w:szCs w:val="32"/>
        </w:rPr>
        <w:sectPr>
          <w:footerReference r:id="rId5" w:type="default"/>
          <w:pgSz w:w="11906" w:h="16838"/>
          <w:pgMar w:top="1962" w:right="1474" w:bottom="1848" w:left="1587" w:header="851" w:footer="992" w:gutter="0"/>
          <w:pgNumType w:fmt="decimal"/>
          <w:cols w:space="720" w:num="1"/>
          <w:docGrid w:type="lines" w:linePitch="439" w:charSpace="0"/>
        </w:sectPr>
      </w:pPr>
    </w:p>
    <w:p>
      <w:pPr>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附件1</w:t>
      </w:r>
    </w:p>
    <w:p>
      <w:pPr>
        <w:adjustRightInd w:val="0"/>
        <w:jc w:val="center"/>
        <w:rPr>
          <w:rFonts w:ascii="方正小标宋简体" w:hAnsi="方正小标宋简体" w:eastAsia="方正小标宋简体" w:cs="方正小标宋简体"/>
          <w:kern w:val="0"/>
          <w:sz w:val="44"/>
          <w:szCs w:val="44"/>
        </w:rPr>
      </w:pPr>
      <w:r>
        <w:rPr>
          <w:rFonts w:hint="eastAsia" w:ascii="方正小标宋_GBK" w:hAnsi="方正小标宋_GBK" w:eastAsia="方正小标宋_GBK" w:cs="方正小标宋_GBK"/>
          <w:kern w:val="0"/>
          <w:sz w:val="44"/>
          <w:szCs w:val="44"/>
        </w:rPr>
        <w:t>重庆市第一批日间手术目录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4988"/>
        <w:gridCol w:w="2667"/>
        <w:gridCol w:w="2916"/>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kinsoku/>
              <w:wordWrap/>
              <w:overflowPunct/>
              <w:topLinePunct w:val="0"/>
              <w:autoSpaceDE/>
              <w:autoSpaceDN/>
              <w:bidi w:val="0"/>
              <w:adjustRightInd/>
              <w:snapToGrid w:val="0"/>
              <w:spacing w:line="260" w:lineRule="exact"/>
              <w:jc w:val="center"/>
              <w:rPr>
                <w:rFonts w:ascii="Times New Roman" w:hAnsi="Times New Roman" w:eastAsia="黑体" w:cs="黑体"/>
                <w:kern w:val="0"/>
                <w:sz w:val="24"/>
              </w:rPr>
            </w:pPr>
            <w:r>
              <w:rPr>
                <w:rFonts w:hint="eastAsia" w:ascii="Times New Roman" w:hAnsi="Times New Roman" w:eastAsia="黑体" w:cs="黑体"/>
                <w:kern w:val="0"/>
                <w:sz w:val="24"/>
              </w:rPr>
              <w:t>序号</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jc w:val="center"/>
              <w:rPr>
                <w:rFonts w:ascii="Times New Roman" w:hAnsi="Times New Roman" w:eastAsia="黑体" w:cs="黑体"/>
                <w:kern w:val="0"/>
                <w:sz w:val="24"/>
              </w:rPr>
            </w:pPr>
            <w:r>
              <w:rPr>
                <w:rFonts w:hint="eastAsia" w:ascii="Times New Roman" w:hAnsi="Times New Roman" w:eastAsia="黑体" w:cs="黑体"/>
                <w:kern w:val="0"/>
                <w:sz w:val="24"/>
              </w:rPr>
              <w:t>手术名称</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jc w:val="center"/>
              <w:rPr>
                <w:rFonts w:ascii="Times New Roman" w:hAnsi="Times New Roman" w:eastAsia="黑体" w:cs="黑体"/>
                <w:kern w:val="0"/>
                <w:sz w:val="24"/>
              </w:rPr>
            </w:pPr>
            <w:r>
              <w:rPr>
                <w:rFonts w:hint="eastAsia" w:ascii="Times New Roman" w:hAnsi="Times New Roman" w:eastAsia="黑体" w:cs="黑体"/>
                <w:kern w:val="0"/>
                <w:sz w:val="24"/>
              </w:rPr>
              <w:t>ICD-9</w:t>
            </w:r>
            <w:r>
              <w:rPr>
                <w:rFonts w:ascii="Times New Roman" w:hAnsi="Times New Roman" w:eastAsia="黑体" w:cs="黑体"/>
                <w:kern w:val="0"/>
                <w:sz w:val="24"/>
              </w:rPr>
              <w:t>-CM3</w:t>
            </w:r>
            <w:r>
              <w:rPr>
                <w:rFonts w:hint="eastAsia" w:ascii="Times New Roman" w:hAnsi="Times New Roman" w:eastAsia="黑体" w:cs="黑体"/>
                <w:kern w:val="0"/>
                <w:sz w:val="24"/>
              </w:rPr>
              <w:t>编码</w:t>
            </w:r>
          </w:p>
        </w:tc>
        <w:tc>
          <w:tcPr>
            <w:tcW w:w="2916" w:type="dxa"/>
            <w:vAlign w:val="center"/>
          </w:tcPr>
          <w:p>
            <w:pPr>
              <w:keepNext w:val="0"/>
              <w:keepLines w:val="0"/>
              <w:pageBreakBefore w:val="0"/>
              <w:kinsoku/>
              <w:wordWrap/>
              <w:overflowPunct/>
              <w:topLinePunct w:val="0"/>
              <w:autoSpaceDE/>
              <w:autoSpaceDN/>
              <w:bidi w:val="0"/>
              <w:adjustRightInd/>
              <w:snapToGrid w:val="0"/>
              <w:spacing w:line="260" w:lineRule="exact"/>
              <w:jc w:val="center"/>
              <w:rPr>
                <w:rFonts w:ascii="Times New Roman" w:hAnsi="Times New Roman" w:eastAsia="黑体" w:cs="黑体"/>
                <w:kern w:val="0"/>
                <w:sz w:val="24"/>
              </w:rPr>
            </w:pPr>
            <w:r>
              <w:rPr>
                <w:rFonts w:hint="eastAsia" w:ascii="Times New Roman" w:hAnsi="Times New Roman" w:eastAsia="黑体" w:cs="黑体"/>
                <w:kern w:val="0"/>
                <w:sz w:val="24"/>
              </w:rPr>
              <w:t>疾病名称</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jc w:val="center"/>
              <w:rPr>
                <w:rFonts w:ascii="Times New Roman" w:hAnsi="Times New Roman" w:eastAsia="黑体" w:cs="黑体"/>
                <w:kern w:val="0"/>
                <w:sz w:val="24"/>
              </w:rPr>
            </w:pPr>
            <w:r>
              <w:rPr>
                <w:rFonts w:hint="eastAsia" w:ascii="Times New Roman" w:hAnsi="Times New Roman" w:eastAsia="黑体" w:cs="黑体"/>
                <w:kern w:val="0"/>
                <w:sz w:val="24"/>
              </w:rPr>
              <w:t>ICD-10编码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kern w:val="0"/>
                <w:szCs w:val="21"/>
              </w:rPr>
            </w:pPr>
            <w:r>
              <w:rPr>
                <w:rFonts w:hint="eastAsia" w:ascii="Times New Roman" w:hAnsi="Times New Roman" w:eastAsia="仿宋" w:cs="仿宋"/>
                <w:kern w:val="0"/>
                <w:szCs w:val="21"/>
              </w:rPr>
              <w:t>1</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szCs w:val="21"/>
              </w:rPr>
              <w:t>经皮椎体后凸成形术、经皮椎体成形术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81.00/81.66/</w:t>
            </w:r>
            <w:r>
              <w:rPr>
                <w:rFonts w:hint="eastAsia" w:ascii="Times New Roman" w:hAnsi="Times New Roman" w:eastAsia="仿宋" w:cs="仿宋"/>
                <w:szCs w:val="21"/>
              </w:rPr>
              <w:t>81.65</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kern w:val="0"/>
                <w:szCs w:val="21"/>
              </w:rPr>
              <w:t>骨质疏松性椎体压缩性骨折</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M80.8/M80.9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kern w:val="0"/>
                <w:szCs w:val="21"/>
              </w:rPr>
            </w:pPr>
            <w:r>
              <w:rPr>
                <w:rFonts w:hint="eastAsia" w:ascii="Times New Roman" w:hAnsi="Times New Roman" w:eastAsia="仿宋" w:cs="仿宋"/>
                <w:kern w:val="0"/>
                <w:szCs w:val="21"/>
              </w:rPr>
              <w:t>2</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szCs w:val="21"/>
              </w:rPr>
              <w:t>腘窝囊肿切除术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83.3902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kern w:val="0"/>
                <w:szCs w:val="21"/>
              </w:rPr>
              <w:t>腘窝囊肿</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bCs/>
                <w:kern w:val="0"/>
                <w:szCs w:val="21"/>
              </w:rPr>
              <w:t>M79.981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kern w:val="0"/>
                <w:szCs w:val="21"/>
              </w:rPr>
            </w:pPr>
            <w:r>
              <w:rPr>
                <w:rFonts w:hint="eastAsia" w:ascii="Times New Roman" w:hAnsi="Times New Roman" w:eastAsia="仿宋" w:cs="仿宋"/>
                <w:kern w:val="0"/>
                <w:szCs w:val="21"/>
              </w:rPr>
              <w:t>3</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szCs w:val="21"/>
                <w:lang w:val="en-GB"/>
              </w:rPr>
              <w:t>腱鞘囊肿切除术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szCs w:val="21"/>
                <w:lang w:val="en-GB"/>
              </w:rPr>
              <w:t>83.312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kern w:val="0"/>
                <w:szCs w:val="21"/>
              </w:rPr>
              <w:t>腱鞘囊肿</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szCs w:val="21"/>
                <w:lang w:val="en-GB"/>
              </w:rPr>
              <w:t>M67.401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kern w:val="0"/>
                <w:szCs w:val="21"/>
              </w:rPr>
            </w:pPr>
            <w:r>
              <w:rPr>
                <w:rFonts w:hint="eastAsia" w:ascii="Times New Roman" w:hAnsi="Times New Roman" w:eastAsia="仿宋" w:cs="仿宋"/>
                <w:kern w:val="0"/>
                <w:szCs w:val="21"/>
              </w:rPr>
              <w:t>4</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szCs w:val="21"/>
              </w:rPr>
              <w:t>腕管切开松解术、正中神经松解术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szCs w:val="21"/>
              </w:rPr>
              <w:t>04.43/04.4905</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kern w:val="0"/>
                <w:szCs w:val="21"/>
              </w:rPr>
              <w:t>腕管综合征</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szCs w:val="21"/>
              </w:rPr>
              <w:t>G56.0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kern w:val="0"/>
                <w:szCs w:val="21"/>
              </w:rPr>
            </w:pPr>
            <w:r>
              <w:rPr>
                <w:rFonts w:hint="eastAsia" w:ascii="Times New Roman" w:hAnsi="Times New Roman" w:eastAsia="仿宋" w:cs="仿宋"/>
                <w:kern w:val="0"/>
                <w:szCs w:val="21"/>
              </w:rPr>
              <w:t>5</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szCs w:val="21"/>
              </w:rPr>
              <w:t>肘窝囊肿切除术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83.3900X016</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color w:val="000000"/>
                <w:kern w:val="0"/>
                <w:szCs w:val="21"/>
              </w:rPr>
              <w:t>肘窝囊肿</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bCs/>
                <w:kern w:val="0"/>
                <w:szCs w:val="21"/>
              </w:rPr>
              <w:t>M79.981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6</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下肢静脉曲张泡沫硬化治疗+大隐静脉高位结扎手术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38.59</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下肢静脉曲张</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I83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7</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经电子内镜结肠息肉切除术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45.42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结肠息肉</w:t>
            </w:r>
            <w:r>
              <w:rPr>
                <w:rFonts w:hint="eastAsia" w:ascii="Times New Roman" w:hAnsi="Times New Roman" w:eastAsia="仿宋" w:cs="仿宋"/>
                <w:color w:val="000000"/>
                <w:kern w:val="0"/>
                <w:szCs w:val="21"/>
              </w:rPr>
              <w:t>（直径2cm以上或粘膜下息肉）</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D12.6/D12.8/K62.1/K63.5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8</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经内镜直肠良性肿物切除术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48.35</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Times New Roman" w:hAnsi="Times New Roman" w:eastAsia="仿宋" w:cs="仿宋"/>
                <w:kern w:val="0"/>
                <w:szCs w:val="21"/>
              </w:rPr>
            </w:pPr>
            <w:r>
              <w:rPr>
                <w:rFonts w:hint="eastAsia" w:ascii="Times New Roman" w:hAnsi="Times New Roman" w:eastAsia="仿宋" w:cs="仿宋"/>
                <w:kern w:val="0"/>
                <w:szCs w:val="21"/>
              </w:rPr>
              <w:t>直肠息肉</w:t>
            </w:r>
            <w:r>
              <w:rPr>
                <w:rFonts w:hint="eastAsia" w:ascii="Times New Roman" w:hAnsi="Times New Roman" w:eastAsia="仿宋" w:cs="仿宋"/>
                <w:color w:val="000000"/>
                <w:kern w:val="0"/>
                <w:szCs w:val="21"/>
              </w:rPr>
              <w:t>（直径2cm以上或粘膜下息肉）</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D12.8,M8210/0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9</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经支撑喉镜会厌良性肿瘤切除术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30.09</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会厌良性肿瘤</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D14.1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10</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经输尿管镜双J管拔除术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59.99</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双J管置入术后</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Z98.800x907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11</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经输尿管钬激光碎石术+双J管置入术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57，59.8</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输尿管结石</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N20.1,N13.202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12</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单侧腹股沟疝修补术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53.0001</w:t>
            </w:r>
          </w:p>
        </w:tc>
        <w:tc>
          <w:tcPr>
            <w:tcW w:w="2916" w:type="dxa"/>
            <w:vMerge w:val="restart"/>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腹股沟疝（成人）</w:t>
            </w:r>
          </w:p>
        </w:tc>
        <w:tc>
          <w:tcPr>
            <w:tcW w:w="2834" w:type="dxa"/>
            <w:vMerge w:val="restart"/>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K40.000-K40.900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13</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单侧腹股沟直疝修补术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53.0101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14</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单侧腹股沟斜疝修补术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53.0201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15</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单侧股疝修补术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53.2901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16</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单侧腹股沟疝无张力修补术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53.0501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17</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单侧腹股沟直疝无张力修补术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53.0302</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18</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单侧腹股沟斜疝无张力修补术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53.0401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19</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单侧股疝无张力修补术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53.2101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20</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单侧腹股沟疝修补术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53.0001</w:t>
            </w:r>
          </w:p>
        </w:tc>
        <w:tc>
          <w:tcPr>
            <w:tcW w:w="2916" w:type="dxa"/>
            <w:vMerge w:val="restart"/>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腹股沟疝（儿童）</w:t>
            </w:r>
          </w:p>
        </w:tc>
        <w:tc>
          <w:tcPr>
            <w:tcW w:w="2834" w:type="dxa"/>
            <w:vMerge w:val="restart"/>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K40.000-K40.900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21</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单侧腹股沟斜疝修补术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53.0201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22</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单侧腹股沟斜疝无张力修补术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ascii="Times New Roman" w:hAnsi="Times New Roman" w:eastAsia="仿宋" w:cs="仿宋"/>
                <w:szCs w:val="21"/>
              </w:rPr>
              <w:t>53.0401</w:t>
            </w:r>
          </w:p>
        </w:tc>
        <w:tc>
          <w:tcPr>
            <w:tcW w:w="2916" w:type="dxa"/>
            <w:vMerge w:val="continue"/>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p>
        </w:tc>
        <w:tc>
          <w:tcPr>
            <w:tcW w:w="2834" w:type="dxa"/>
            <w:vMerge w:val="continue"/>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23</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腹股沟斜疝疝囊高位结扎术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53.0202；53.1202；53.0204</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腹股沟斜疝（儿童）</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K40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24</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腱鞘松解术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83.0102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狭窄性腱鞘炎</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M65.900*093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25</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经皮肝穿刺活组织检查</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50.11005</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慢性病毒性肝炎</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B18.107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26</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子宫肌瘤切除术（宫腔镜手术）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68.2901</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子宫肌瘤</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D25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27</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宫腔镜子宫内膜切除术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68.2302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子宫腺肌症</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N80.001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28</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内镜下胃息肉粘膜切除术（EMR）</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43.4108</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胃息肉</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K31.703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29</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宫腔镜子宫颈病损切除术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67.3902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子宫颈管息肉</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N84.100/O34.404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color w:val="000000"/>
                <w:kern w:val="0"/>
                <w:szCs w:val="21"/>
              </w:rPr>
            </w:pPr>
            <w:r>
              <w:rPr>
                <w:rFonts w:hint="eastAsia" w:ascii="Times New Roman" w:hAnsi="Times New Roman" w:eastAsia="仿宋" w:cs="仿宋"/>
                <w:color w:val="000000"/>
                <w:kern w:val="0"/>
                <w:szCs w:val="21"/>
              </w:rPr>
              <w:t>30</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宫腔镜子宫内膜粘连松解术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68.2101</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宫腔粘连</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szCs w:val="21"/>
              </w:rPr>
            </w:pPr>
            <w:r>
              <w:rPr>
                <w:rFonts w:hint="eastAsia" w:ascii="Times New Roman" w:hAnsi="Times New Roman" w:eastAsia="仿宋" w:cs="仿宋"/>
                <w:szCs w:val="21"/>
              </w:rPr>
              <w:t>N85.600/O08.803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31</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玻璃体腔注药术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14.7903</w:t>
            </w:r>
          </w:p>
        </w:tc>
        <w:tc>
          <w:tcPr>
            <w:tcW w:w="2916"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年龄相关性黄斑变性、黄斑水肿</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H35.305、H35.804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32</w:t>
            </w:r>
          </w:p>
        </w:tc>
        <w:tc>
          <w:tcPr>
            <w:tcW w:w="4988"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睾丸鞘状突高位结扎术</w:t>
            </w:r>
          </w:p>
        </w:tc>
        <w:tc>
          <w:tcPr>
            <w:tcW w:w="2667"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61.4901；61.4905；61.4904；69.1906</w:t>
            </w:r>
          </w:p>
        </w:tc>
        <w:tc>
          <w:tcPr>
            <w:tcW w:w="2916"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鞘膜积液</w:t>
            </w:r>
          </w:p>
        </w:tc>
        <w:tc>
          <w:tcPr>
            <w:tcW w:w="2834" w:type="dxa"/>
            <w:vAlign w:val="center"/>
          </w:tcPr>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r>
              <w:rPr>
                <w:rFonts w:hint="eastAsia" w:ascii="Times New Roman" w:hAnsi="Times New Roman" w:eastAsia="仿宋" w:cs="仿宋"/>
                <w:szCs w:val="21"/>
              </w:rPr>
              <w:t>N43.0；N43.1；N43.2；N43.3；P83.5；94.804</w:t>
            </w:r>
          </w:p>
          <w:p>
            <w:pPr>
              <w:keepNext w:val="0"/>
              <w:keepLines w:val="0"/>
              <w:pageBreakBefore w:val="0"/>
              <w:kinsoku/>
              <w:wordWrap/>
              <w:overflowPunct/>
              <w:topLinePunct w:val="0"/>
              <w:autoSpaceDE/>
              <w:autoSpaceDN/>
              <w:bidi w:val="0"/>
              <w:adjustRightInd/>
              <w:snapToGrid w:val="0"/>
              <w:spacing w:line="260" w:lineRule="exact"/>
              <w:rPr>
                <w:rFonts w:ascii="Times New Roman" w:hAnsi="Times New Roman"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33</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腱鞘松解术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82.0101；83.0102</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扳机指（狭窄性腱鞘炎）</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M65.3；Q74.010；Q74.000x907；</w:t>
            </w:r>
          </w:p>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M65.900x093；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34</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气管异物取出术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98.1504；98.1501；31.3x03</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气管内异物</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T17.4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35</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睾丸下降固定术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62.5</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隐睾</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Q53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36</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鼓膜置管术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20.01</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慢性分泌性中耳炎</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H65.300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37</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耳前瘘管切除术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18.2100</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先天性耳前瘘管</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Q18.102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38</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肛瘘挂线术或肛瘘切除术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ascii="Times New Roman" w:hAnsi="Times New Roman" w:eastAsia="仿宋" w:cs="仿宋"/>
                <w:kern w:val="0"/>
                <w:szCs w:val="21"/>
              </w:rPr>
              <w:t>49.73</w:t>
            </w:r>
            <w:r>
              <w:rPr>
                <w:rFonts w:hint="eastAsia" w:ascii="Times New Roman" w:hAnsi="Times New Roman" w:eastAsia="仿宋" w:cs="仿宋"/>
                <w:kern w:val="0"/>
                <w:szCs w:val="21"/>
              </w:rPr>
              <w:t>；49.1</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肛瘘</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ascii="Times New Roman" w:hAnsi="Times New Roman" w:eastAsia="仿宋" w:cs="仿宋"/>
                <w:kern w:val="0"/>
                <w:szCs w:val="21"/>
              </w:rPr>
              <w:t>K60.3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39</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胸骨内固定装置去除术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78.6107</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取出内固定装置（漏斗胸NUSS钢板矫形术后）</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Z47.000x002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dxa"/>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Times New Roman" w:hAnsi="Times New Roman" w:eastAsia="仿宋" w:cs="仿宋"/>
                <w:kern w:val="0"/>
                <w:szCs w:val="21"/>
              </w:rPr>
            </w:pPr>
            <w:r>
              <w:rPr>
                <w:rFonts w:hint="eastAsia" w:ascii="Times New Roman" w:hAnsi="Times New Roman" w:eastAsia="仿宋" w:cs="仿宋"/>
                <w:kern w:val="0"/>
                <w:szCs w:val="21"/>
              </w:rPr>
              <w:t>40</w:t>
            </w:r>
          </w:p>
        </w:tc>
        <w:tc>
          <w:tcPr>
            <w:tcW w:w="4988"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输液港取出术</w:t>
            </w:r>
          </w:p>
        </w:tc>
        <w:tc>
          <w:tcPr>
            <w:tcW w:w="2667"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97.8902；97.8903</w:t>
            </w:r>
          </w:p>
        </w:tc>
        <w:tc>
          <w:tcPr>
            <w:tcW w:w="2916"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输液港取出</w:t>
            </w:r>
          </w:p>
        </w:tc>
        <w:tc>
          <w:tcPr>
            <w:tcW w:w="2834" w:type="dxa"/>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Z45.800X013；</w:t>
            </w:r>
          </w:p>
          <w:p>
            <w:pPr>
              <w:keepNext w:val="0"/>
              <w:keepLines w:val="0"/>
              <w:pageBreakBefore w:val="0"/>
              <w:widowControl/>
              <w:kinsoku/>
              <w:wordWrap/>
              <w:overflowPunct/>
              <w:topLinePunct w:val="0"/>
              <w:autoSpaceDE/>
              <w:autoSpaceDN/>
              <w:bidi w:val="0"/>
              <w:adjustRightInd/>
              <w:snapToGrid w:val="0"/>
              <w:spacing w:line="260" w:lineRule="exact"/>
              <w:textAlignment w:val="center"/>
              <w:rPr>
                <w:rFonts w:ascii="Times New Roman" w:hAnsi="Times New Roman" w:eastAsia="仿宋" w:cs="仿宋"/>
                <w:kern w:val="0"/>
                <w:szCs w:val="21"/>
              </w:rPr>
            </w:pPr>
            <w:r>
              <w:rPr>
                <w:rFonts w:hint="eastAsia" w:ascii="Times New Roman" w:hAnsi="Times New Roman" w:eastAsia="仿宋" w:cs="仿宋"/>
                <w:kern w:val="0"/>
                <w:szCs w:val="21"/>
              </w:rPr>
              <w:t>Z5101</w:t>
            </w:r>
          </w:p>
        </w:tc>
      </w:tr>
    </w:tbl>
    <w:p>
      <w:pPr>
        <w:keepNext w:val="0"/>
        <w:keepLines w:val="0"/>
        <w:pageBreakBefore w:val="0"/>
        <w:widowControl/>
        <w:kinsoku/>
        <w:wordWrap/>
        <w:overflowPunct/>
        <w:topLinePunct w:val="0"/>
        <w:autoSpaceDE/>
        <w:autoSpaceDN/>
        <w:bidi w:val="0"/>
        <w:adjustRightInd/>
        <w:snapToGrid w:val="0"/>
        <w:spacing w:line="600" w:lineRule="exact"/>
        <w:jc w:val="left"/>
        <w:textAlignment w:val="auto"/>
        <w:rPr>
          <w:rFonts w:ascii="黑体" w:hAnsi="黑体" w:eastAsia="黑体" w:cs="黑体"/>
          <w:szCs w:val="32"/>
        </w:rPr>
      </w:pPr>
      <w:r>
        <w:rPr>
          <w:rFonts w:ascii="黑体" w:hAnsi="黑体" w:eastAsia="黑体" w:cs="黑体"/>
          <w:szCs w:val="32"/>
        </w:rPr>
        <w:br w:type="page"/>
      </w:r>
      <w:r>
        <w:rPr>
          <w:rFonts w:hint="eastAsia" w:ascii="Times New Roman" w:hAnsi="Times New Roman" w:eastAsia="方正黑体_GBK" w:cs="方正黑体_GBK"/>
          <w:sz w:val="32"/>
          <w:szCs w:val="32"/>
        </w:rPr>
        <w:t>附件2</w:t>
      </w:r>
    </w:p>
    <w:p>
      <w:pPr>
        <w:spacing w:line="48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重庆市定额收付费日间手术目录</w:t>
      </w:r>
    </w:p>
    <w:p>
      <w:pPr>
        <w:spacing w:line="480" w:lineRule="exact"/>
        <w:jc w:val="center"/>
        <w:rPr>
          <w:rFonts w:ascii="方正小标宋_GBK" w:hAnsi="方正小标宋_GBK" w:eastAsia="方正小标宋_GBK" w:cs="方正小标宋_GBK"/>
          <w:kern w:val="0"/>
          <w:sz w:val="40"/>
          <w:szCs w:val="40"/>
        </w:rPr>
      </w:pPr>
    </w:p>
    <w:tbl>
      <w:tblPr>
        <w:tblStyle w:val="5"/>
        <w:tblW w:w="4997"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877"/>
        <w:gridCol w:w="2503"/>
        <w:gridCol w:w="744"/>
        <w:gridCol w:w="4432"/>
        <w:gridCol w:w="2360"/>
        <w:gridCol w:w="1432"/>
        <w:gridCol w:w="16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 w:hRule="atLeast"/>
          <w:tblHeader/>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序号</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病种名称</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kern w:val="0"/>
                <w:szCs w:val="21"/>
              </w:rPr>
            </w:pPr>
            <w:r>
              <w:rPr>
                <w:rFonts w:hint="eastAsia" w:ascii="Times New Roman" w:hAnsi="Times New Roman" w:cs="方正仿宋_GBK"/>
                <w:b/>
                <w:color w:val="000000"/>
                <w:kern w:val="0"/>
                <w:szCs w:val="21"/>
              </w:rPr>
              <w:t>计价</w:t>
            </w:r>
          </w:p>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单位</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kern w:val="0"/>
                <w:szCs w:val="21"/>
              </w:rPr>
            </w:pPr>
            <w:r>
              <w:rPr>
                <w:rFonts w:hint="eastAsia" w:ascii="Times New Roman" w:hAnsi="Times New Roman" w:cs="方正仿宋_GBK"/>
                <w:b/>
                <w:color w:val="000000"/>
                <w:kern w:val="0"/>
                <w:szCs w:val="21"/>
              </w:rPr>
              <w:t>麻醉方式/</w:t>
            </w:r>
          </w:p>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手术方式</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除外内容</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kern w:val="0"/>
                <w:szCs w:val="21"/>
              </w:rPr>
            </w:pPr>
            <w:r>
              <w:rPr>
                <w:rFonts w:hint="eastAsia" w:ascii="Times New Roman" w:hAnsi="Times New Roman" w:cs="方正仿宋_GBK"/>
                <w:b/>
                <w:color w:val="000000"/>
                <w:kern w:val="0"/>
                <w:szCs w:val="21"/>
              </w:rPr>
              <w:t>收费标准</w:t>
            </w:r>
          </w:p>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（元）</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b/>
                <w:color w:val="000000"/>
                <w:szCs w:val="21"/>
              </w:rPr>
            </w:pPr>
            <w:r>
              <w:rPr>
                <w:rFonts w:hint="eastAsia" w:ascii="Times New Roman" w:hAnsi="Times New Roman" w:cs="方正仿宋_GBK"/>
                <w:b/>
                <w:color w:val="000000"/>
                <w:kern w:val="0"/>
                <w:szCs w:val="21"/>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1</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慢性尿滞留</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局部浸润麻醉/耻骨上膀胱穿刺造瘘</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2244</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2</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膀胱及尿道结石</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局部浸润麻醉/经膀胱镜尿道镜取异物冲洗术</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2420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膀胱及尿道结石</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腰麻硬膜外联合阻滞麻醉/经膀胱镜尿道镜弹导碎石取石</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3113</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21"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4</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kern w:val="0"/>
                <w:szCs w:val="21"/>
              </w:rPr>
            </w:pPr>
            <w:r>
              <w:rPr>
                <w:rFonts w:hint="eastAsia" w:ascii="Times New Roman" w:hAnsi="Times New Roman" w:cs="方正仿宋_GBK"/>
                <w:color w:val="000000"/>
                <w:kern w:val="0"/>
                <w:szCs w:val="21"/>
              </w:rPr>
              <w:t>血栓性外痔</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kern w:val="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kern w:val="0"/>
                <w:szCs w:val="21"/>
              </w:rPr>
            </w:pPr>
            <w:r>
              <w:rPr>
                <w:rFonts w:hint="eastAsia" w:ascii="Times New Roman" w:hAnsi="Times New Roman" w:cs="方正仿宋_GBK"/>
                <w:color w:val="000000"/>
                <w:kern w:val="0"/>
                <w:szCs w:val="21"/>
              </w:rPr>
              <w:t>局部浸润麻醉/肛周痔手术治疗</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szCs w:val="21"/>
              </w:rPr>
              <w:t>1980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2"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5</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外阴赘生物</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静脉麻醉/外阴赘生物切除</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2640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4"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6</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声带息肉（息肉、小结）</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局部浸润麻醉/支撑喉镜声带肿物电切除</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3850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63"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7</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宫颈息肉</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次</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静脉麻醉/宫颈息肉切除</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2860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3"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8</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乳腺良性肿瘤</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单侧</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pacing w:val="-8"/>
                <w:szCs w:val="21"/>
              </w:rPr>
            </w:pPr>
            <w:r>
              <w:rPr>
                <w:rFonts w:hint="eastAsia" w:ascii="Times New Roman" w:hAnsi="Times New Roman" w:cs="方正仿宋_GBK"/>
                <w:color w:val="000000"/>
                <w:spacing w:val="-8"/>
                <w:kern w:val="0"/>
                <w:szCs w:val="21"/>
              </w:rPr>
              <w:t>局部浸润麻醉/乳腺肿物旋切术</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pacing w:val="-10"/>
                <w:szCs w:val="21"/>
              </w:rPr>
            </w:pPr>
            <w:r>
              <w:rPr>
                <w:rFonts w:hint="eastAsia" w:ascii="Times New Roman" w:hAnsi="Times New Roman" w:cs="方正仿宋_GBK"/>
                <w:color w:val="000000"/>
                <w:spacing w:val="-10"/>
                <w:kern w:val="0"/>
                <w:szCs w:val="21"/>
              </w:rPr>
              <w:t>特殊穿刺旋切针</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3014</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3"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9</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乳腺良性肿瘤</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单侧</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pacing w:val="-10"/>
                <w:szCs w:val="21"/>
              </w:rPr>
            </w:pPr>
            <w:r>
              <w:rPr>
                <w:rFonts w:hint="eastAsia" w:ascii="Times New Roman" w:hAnsi="Times New Roman" w:cs="方正仿宋_GBK"/>
                <w:color w:val="000000"/>
                <w:spacing w:val="-10"/>
                <w:kern w:val="0"/>
                <w:szCs w:val="21"/>
              </w:rPr>
              <w:t>局部浸润麻醉/乳腺肿物切除</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3080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3"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10</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乳腺良性肿瘤</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双侧</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pacing w:val="-8"/>
                <w:szCs w:val="21"/>
              </w:rPr>
            </w:pPr>
            <w:r>
              <w:rPr>
                <w:rFonts w:hint="eastAsia" w:ascii="Times New Roman" w:hAnsi="Times New Roman" w:cs="方正仿宋_GBK"/>
                <w:color w:val="000000"/>
                <w:spacing w:val="-8"/>
                <w:kern w:val="0"/>
                <w:szCs w:val="21"/>
              </w:rPr>
              <w:t>局部浸润麻醉/乳腺肿物旋切术</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spacing w:val="-10"/>
                <w:kern w:val="0"/>
                <w:szCs w:val="21"/>
              </w:rPr>
              <w:t>特殊穿刺旋切针</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3410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3" w:hRule="atLeast"/>
        </w:trPr>
        <w:tc>
          <w:tcPr>
            <w:tcW w:w="31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11</w:t>
            </w:r>
          </w:p>
        </w:tc>
        <w:tc>
          <w:tcPr>
            <w:tcW w:w="89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乳腺良性肿瘤</w:t>
            </w:r>
          </w:p>
        </w:tc>
        <w:tc>
          <w:tcPr>
            <w:tcW w:w="266"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双侧</w:t>
            </w:r>
          </w:p>
        </w:tc>
        <w:tc>
          <w:tcPr>
            <w:tcW w:w="1585"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left"/>
              <w:textAlignment w:val="center"/>
              <w:rPr>
                <w:rFonts w:ascii="Times New Roman" w:hAnsi="Times New Roman" w:cs="方正仿宋_GBK"/>
                <w:color w:val="000000"/>
                <w:spacing w:val="-10"/>
                <w:szCs w:val="21"/>
              </w:rPr>
            </w:pPr>
            <w:r>
              <w:rPr>
                <w:rFonts w:hint="eastAsia" w:ascii="Times New Roman" w:hAnsi="Times New Roman" w:cs="方正仿宋_GBK"/>
                <w:color w:val="000000"/>
                <w:spacing w:val="-10"/>
                <w:kern w:val="0"/>
                <w:szCs w:val="21"/>
              </w:rPr>
              <w:t>局部浸润麻醉/乳腺肿物切除</w:t>
            </w:r>
          </w:p>
        </w:tc>
        <w:tc>
          <w:tcPr>
            <w:tcW w:w="844"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　</w:t>
            </w:r>
          </w:p>
        </w:tc>
        <w:tc>
          <w:tcPr>
            <w:tcW w:w="512"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3520</w:t>
            </w:r>
          </w:p>
        </w:tc>
        <w:tc>
          <w:tcPr>
            <w:tcW w:w="580" w:type="pct"/>
            <w:tcBorders>
              <w:top w:val="single" w:color="auto" w:sz="8" w:space="0"/>
              <w:left w:val="single" w:color="auto" w:sz="8" w:space="0"/>
              <w:bottom w:val="single" w:color="auto" w:sz="8" w:space="0"/>
              <w:right w:val="single" w:color="auto" w:sz="8" w:space="0"/>
            </w:tcBorders>
            <w:shd w:val="clear" w:color="auto" w:fill="FFFFFF"/>
            <w:tcMar>
              <w:top w:w="10" w:type="dxa"/>
              <w:left w:w="10" w:type="dxa"/>
              <w:bottom w:w="0" w:type="dxa"/>
              <w:right w:w="10" w:type="dxa"/>
            </w:tcMar>
            <w:vAlign w:val="center"/>
          </w:tcPr>
          <w:p>
            <w:pPr>
              <w:widowControl/>
              <w:spacing w:line="0" w:lineRule="atLeast"/>
              <w:jc w:val="center"/>
              <w:textAlignment w:val="center"/>
              <w:rPr>
                <w:rFonts w:ascii="Times New Roman" w:hAnsi="Times New Roman" w:cs="方正仿宋_GBK"/>
                <w:color w:val="000000"/>
                <w:szCs w:val="21"/>
              </w:rPr>
            </w:pPr>
            <w:r>
              <w:rPr>
                <w:rFonts w:hint="eastAsia" w:ascii="Times New Roman" w:hAnsi="Times New Roman" w:cs="方正仿宋_GBK"/>
                <w:color w:val="000000"/>
                <w:kern w:val="0"/>
                <w:szCs w:val="21"/>
              </w:rPr>
              <w:t>日间病房</w:t>
            </w:r>
          </w:p>
        </w:tc>
      </w:tr>
    </w:tbl>
    <w:p>
      <w:pPr>
        <w:spacing w:line="480" w:lineRule="exact"/>
        <w:jc w:val="center"/>
        <w:rPr>
          <w:rFonts w:ascii="黑体" w:hAnsi="黑体" w:eastAsia="黑体" w:cs="黑体"/>
          <w:szCs w:val="32"/>
        </w:rPr>
        <w:sectPr>
          <w:pgSz w:w="16838" w:h="11906" w:orient="landscape"/>
          <w:pgMar w:top="1803" w:right="1440" w:bottom="1803" w:left="1440" w:header="851" w:footer="992" w:gutter="0"/>
          <w:pgNumType w:fmt="decimal"/>
          <w:cols w:space="720" w:num="1"/>
          <w:docGrid w:type="lines" w:linePitch="319" w:charSpace="0"/>
        </w:sectPr>
      </w:pPr>
    </w:p>
    <w:p>
      <w:pPr>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附件3</w:t>
      </w:r>
    </w:p>
    <w:p>
      <w:pPr>
        <w:spacing w:line="480" w:lineRule="exact"/>
        <w:jc w:val="center"/>
        <w:rPr>
          <w:rFonts w:ascii="方正小标宋简体" w:hAnsi="方正小标宋简体" w:eastAsia="方正小标宋简体" w:cs="方正小标宋简体"/>
          <w:sz w:val="44"/>
          <w:szCs w:val="44"/>
        </w:rPr>
      </w:pPr>
      <w:r>
        <w:rPr>
          <w:rFonts w:hint="eastAsia" w:ascii="方正小标宋_GBK" w:hAnsi="方正小标宋_GBK" w:eastAsia="方正小标宋_GBK" w:cs="方正小标宋_GBK"/>
          <w:sz w:val="44"/>
          <w:szCs w:val="44"/>
        </w:rPr>
        <w:t>重庆市目录外日间手术表</w:t>
      </w:r>
    </w:p>
    <w:p>
      <w:pPr>
        <w:snapToGrid w:val="0"/>
        <w:spacing w:line="560" w:lineRule="exact"/>
        <w:rPr>
          <w:rFonts w:ascii="Times New Roman" w:hAnsi="Times New Roman" w:eastAsia="仿宋" w:cs="仿宋"/>
          <w:sz w:val="28"/>
          <w:szCs w:val="28"/>
        </w:rPr>
      </w:pPr>
      <w:r>
        <w:rPr>
          <w:rFonts w:hint="eastAsia" w:ascii="仿宋" w:hAnsi="仿宋" w:eastAsia="仿宋" w:cs="仿宋"/>
          <w:sz w:val="28"/>
          <w:szCs w:val="28"/>
        </w:rPr>
        <w:t xml:space="preserve">      </w:t>
      </w:r>
      <w:r>
        <w:rPr>
          <w:rFonts w:hint="eastAsia" w:ascii="Times New Roman" w:hAnsi="Times New Roman" w:eastAsia="仿宋" w:cs="仿宋"/>
          <w:sz w:val="28"/>
          <w:szCs w:val="28"/>
        </w:rPr>
        <w:t xml:space="preserve">医疗机构名称：                                       </w:t>
      </w:r>
      <w:r>
        <w:rPr>
          <w:rFonts w:hint="eastAsia" w:ascii="Times New Roman" w:hAnsi="Times New Roman" w:eastAsia="仿宋" w:cs="仿宋"/>
          <w:sz w:val="28"/>
          <w:szCs w:val="28"/>
          <w:lang w:eastAsia="zh-CN"/>
        </w:rPr>
        <w:t>　　　　　　</w:t>
      </w:r>
      <w:r>
        <w:rPr>
          <w:rFonts w:hint="eastAsia" w:ascii="Times New Roman" w:hAnsi="Times New Roman" w:eastAsia="仿宋" w:cs="仿宋"/>
          <w:sz w:val="28"/>
          <w:szCs w:val="28"/>
        </w:rPr>
        <w:t xml:space="preserve"> 申请日期：   年   月   日</w:t>
      </w:r>
    </w:p>
    <w:tbl>
      <w:tblPr>
        <w:tblStyle w:val="5"/>
        <w:tblW w:w="0" w:type="auto"/>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215"/>
        <w:gridCol w:w="1455"/>
        <w:gridCol w:w="1755"/>
        <w:gridCol w:w="1560"/>
        <w:gridCol w:w="1399"/>
        <w:gridCol w:w="1409"/>
        <w:gridCol w:w="1474"/>
        <w:gridCol w:w="1358"/>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序号</w:t>
            </w:r>
          </w:p>
        </w:tc>
        <w:tc>
          <w:tcPr>
            <w:tcW w:w="121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麻醉科</w:t>
            </w:r>
          </w:p>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基本情况</w:t>
            </w:r>
          </w:p>
        </w:tc>
        <w:tc>
          <w:tcPr>
            <w:tcW w:w="145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重症监护室基本情况</w:t>
            </w:r>
          </w:p>
        </w:tc>
        <w:tc>
          <w:tcPr>
            <w:tcW w:w="175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拟开展日间手术临床科室</w:t>
            </w:r>
          </w:p>
        </w:tc>
        <w:tc>
          <w:tcPr>
            <w:tcW w:w="156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近5年住院手术例数</w:t>
            </w:r>
          </w:p>
        </w:tc>
        <w:tc>
          <w:tcPr>
            <w:tcW w:w="139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 w:cs="仿宋"/>
                <w:sz w:val="24"/>
              </w:rPr>
            </w:pPr>
            <w:r>
              <w:rPr>
                <w:rFonts w:hint="eastAsia" w:ascii="Times New Roman" w:hAnsi="Times New Roman" w:eastAsia="仿宋" w:cs="仿宋"/>
                <w:sz w:val="24"/>
              </w:rPr>
              <w:t>近5年微创手术例数</w:t>
            </w:r>
          </w:p>
        </w:tc>
        <w:tc>
          <w:tcPr>
            <w:tcW w:w="2883" w:type="dxa"/>
            <w:gridSpan w:val="2"/>
            <w:vAlign w:val="center"/>
          </w:tcPr>
          <w:p>
            <w:pPr>
              <w:snapToGrid w:val="0"/>
              <w:spacing w:line="560" w:lineRule="exact"/>
              <w:jc w:val="center"/>
              <w:rPr>
                <w:rFonts w:ascii="Times New Roman" w:hAnsi="Times New Roman" w:eastAsia="仿宋" w:cs="仿宋"/>
                <w:sz w:val="24"/>
              </w:rPr>
            </w:pPr>
            <w:r>
              <w:rPr>
                <w:rFonts w:hint="eastAsia" w:ascii="Times New Roman" w:hAnsi="Times New Roman" w:eastAsia="仿宋" w:cs="仿宋"/>
                <w:sz w:val="24"/>
              </w:rPr>
              <w:t>拟开展日间手术病种</w:t>
            </w:r>
          </w:p>
        </w:tc>
        <w:tc>
          <w:tcPr>
            <w:tcW w:w="2888" w:type="dxa"/>
            <w:gridSpan w:val="2"/>
            <w:vAlign w:val="center"/>
          </w:tcPr>
          <w:p>
            <w:pPr>
              <w:snapToGrid w:val="0"/>
              <w:spacing w:line="560" w:lineRule="exact"/>
              <w:jc w:val="center"/>
              <w:rPr>
                <w:rFonts w:ascii="Times New Roman" w:hAnsi="Times New Roman" w:eastAsia="仿宋" w:cs="仿宋"/>
                <w:sz w:val="24"/>
              </w:rPr>
            </w:pPr>
            <w:r>
              <w:rPr>
                <w:rFonts w:hint="eastAsia" w:ascii="Times New Roman" w:hAnsi="Times New Roman" w:eastAsia="仿宋" w:cs="仿宋"/>
                <w:sz w:val="24"/>
              </w:rPr>
              <w:t>拟开展日间手术术式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70" w:type="dxa"/>
            <w:vMerge w:val="continue"/>
            <w:vAlign w:val="center"/>
          </w:tcPr>
          <w:p>
            <w:pPr>
              <w:snapToGrid w:val="0"/>
              <w:spacing w:line="560" w:lineRule="exact"/>
              <w:jc w:val="center"/>
              <w:rPr>
                <w:rFonts w:ascii="Times New Roman" w:hAnsi="Times New Roman" w:eastAsia="仿宋" w:cs="仿宋"/>
                <w:sz w:val="24"/>
              </w:rPr>
            </w:pPr>
          </w:p>
        </w:tc>
        <w:tc>
          <w:tcPr>
            <w:tcW w:w="1215" w:type="dxa"/>
            <w:vMerge w:val="continue"/>
            <w:vAlign w:val="center"/>
          </w:tcPr>
          <w:p>
            <w:pPr>
              <w:snapToGrid w:val="0"/>
              <w:spacing w:line="560" w:lineRule="exact"/>
              <w:jc w:val="center"/>
              <w:rPr>
                <w:rFonts w:ascii="Times New Roman" w:hAnsi="Times New Roman" w:eastAsia="仿宋" w:cs="仿宋"/>
                <w:sz w:val="24"/>
              </w:rPr>
            </w:pPr>
          </w:p>
        </w:tc>
        <w:tc>
          <w:tcPr>
            <w:tcW w:w="1455" w:type="dxa"/>
            <w:vMerge w:val="continue"/>
            <w:vAlign w:val="center"/>
          </w:tcPr>
          <w:p>
            <w:pPr>
              <w:snapToGrid w:val="0"/>
              <w:spacing w:line="560" w:lineRule="exact"/>
              <w:jc w:val="center"/>
              <w:rPr>
                <w:rFonts w:ascii="Times New Roman" w:hAnsi="Times New Roman" w:eastAsia="仿宋" w:cs="仿宋"/>
                <w:sz w:val="24"/>
              </w:rPr>
            </w:pPr>
          </w:p>
        </w:tc>
        <w:tc>
          <w:tcPr>
            <w:tcW w:w="1755" w:type="dxa"/>
            <w:vMerge w:val="continue"/>
            <w:vAlign w:val="center"/>
          </w:tcPr>
          <w:p>
            <w:pPr>
              <w:snapToGrid w:val="0"/>
              <w:spacing w:line="560" w:lineRule="exact"/>
              <w:jc w:val="center"/>
              <w:rPr>
                <w:rFonts w:ascii="Times New Roman" w:hAnsi="Times New Roman" w:eastAsia="仿宋" w:cs="仿宋"/>
                <w:sz w:val="24"/>
              </w:rPr>
            </w:pPr>
          </w:p>
        </w:tc>
        <w:tc>
          <w:tcPr>
            <w:tcW w:w="1560" w:type="dxa"/>
            <w:vMerge w:val="continue"/>
            <w:vAlign w:val="center"/>
          </w:tcPr>
          <w:p>
            <w:pPr>
              <w:snapToGrid w:val="0"/>
              <w:spacing w:line="560" w:lineRule="exact"/>
              <w:jc w:val="center"/>
              <w:rPr>
                <w:rFonts w:ascii="Times New Roman" w:hAnsi="Times New Roman" w:eastAsia="仿宋" w:cs="仿宋"/>
                <w:sz w:val="24"/>
              </w:rPr>
            </w:pPr>
          </w:p>
        </w:tc>
        <w:tc>
          <w:tcPr>
            <w:tcW w:w="1399" w:type="dxa"/>
            <w:vMerge w:val="continue"/>
            <w:vAlign w:val="center"/>
          </w:tcPr>
          <w:p>
            <w:pPr>
              <w:snapToGrid w:val="0"/>
              <w:spacing w:line="560" w:lineRule="exact"/>
              <w:jc w:val="center"/>
              <w:rPr>
                <w:rFonts w:ascii="Times New Roman" w:hAnsi="Times New Roman" w:eastAsia="仿宋" w:cs="仿宋"/>
                <w:sz w:val="24"/>
              </w:rPr>
            </w:pPr>
          </w:p>
        </w:tc>
        <w:tc>
          <w:tcPr>
            <w:tcW w:w="1409" w:type="dxa"/>
            <w:vAlign w:val="center"/>
          </w:tcPr>
          <w:p>
            <w:pPr>
              <w:snapToGrid w:val="0"/>
              <w:spacing w:line="560" w:lineRule="exact"/>
              <w:jc w:val="center"/>
              <w:rPr>
                <w:rFonts w:ascii="Times New Roman" w:hAnsi="Times New Roman" w:eastAsia="仿宋" w:cs="仿宋"/>
                <w:sz w:val="24"/>
              </w:rPr>
            </w:pPr>
            <w:r>
              <w:rPr>
                <w:rFonts w:hint="eastAsia" w:ascii="Times New Roman" w:hAnsi="Times New Roman" w:eastAsia="仿宋" w:cs="仿宋"/>
                <w:sz w:val="24"/>
              </w:rPr>
              <w:t>病种名称</w:t>
            </w:r>
          </w:p>
        </w:tc>
        <w:tc>
          <w:tcPr>
            <w:tcW w:w="1474" w:type="dxa"/>
            <w:vAlign w:val="center"/>
          </w:tcPr>
          <w:p>
            <w:pPr>
              <w:snapToGrid w:val="0"/>
              <w:spacing w:line="560" w:lineRule="exact"/>
              <w:jc w:val="center"/>
              <w:rPr>
                <w:rFonts w:ascii="Times New Roman" w:hAnsi="Times New Roman" w:eastAsia="仿宋" w:cs="仿宋"/>
                <w:sz w:val="24"/>
              </w:rPr>
            </w:pPr>
            <w:r>
              <w:rPr>
                <w:rFonts w:hint="eastAsia" w:ascii="Times New Roman" w:hAnsi="Times New Roman" w:eastAsia="仿宋" w:cs="仿宋"/>
                <w:sz w:val="24"/>
              </w:rPr>
              <w:t>病种编码</w:t>
            </w:r>
          </w:p>
        </w:tc>
        <w:tc>
          <w:tcPr>
            <w:tcW w:w="1358" w:type="dxa"/>
            <w:vAlign w:val="center"/>
          </w:tcPr>
          <w:p>
            <w:pPr>
              <w:snapToGrid w:val="0"/>
              <w:spacing w:line="560" w:lineRule="exact"/>
              <w:jc w:val="center"/>
              <w:rPr>
                <w:rFonts w:ascii="Times New Roman" w:hAnsi="Times New Roman" w:eastAsia="仿宋" w:cs="仿宋"/>
                <w:sz w:val="24"/>
              </w:rPr>
            </w:pPr>
            <w:r>
              <w:rPr>
                <w:rFonts w:hint="eastAsia" w:ascii="Times New Roman" w:hAnsi="Times New Roman" w:eastAsia="仿宋" w:cs="仿宋"/>
                <w:sz w:val="24"/>
              </w:rPr>
              <w:t>手术名称</w:t>
            </w:r>
          </w:p>
        </w:tc>
        <w:tc>
          <w:tcPr>
            <w:tcW w:w="1530" w:type="dxa"/>
            <w:vAlign w:val="center"/>
          </w:tcPr>
          <w:p>
            <w:pPr>
              <w:snapToGrid w:val="0"/>
              <w:spacing w:line="560" w:lineRule="exact"/>
              <w:jc w:val="center"/>
              <w:rPr>
                <w:rFonts w:ascii="Times New Roman" w:hAnsi="Times New Roman" w:eastAsia="仿宋" w:cs="仿宋"/>
                <w:sz w:val="24"/>
              </w:rPr>
            </w:pPr>
            <w:r>
              <w:rPr>
                <w:rFonts w:hint="eastAsia" w:ascii="Times New Roman" w:hAnsi="Times New Roman" w:eastAsia="仿宋" w:cs="仿宋"/>
                <w:sz w:val="24"/>
              </w:rPr>
              <w:t>手术编码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1</w:t>
            </w:r>
          </w:p>
        </w:tc>
        <w:tc>
          <w:tcPr>
            <w:tcW w:w="1215" w:type="dxa"/>
            <w:vMerge w:val="restart"/>
          </w:tcPr>
          <w:p>
            <w:pPr>
              <w:snapToGrid w:val="0"/>
              <w:spacing w:line="560" w:lineRule="exact"/>
              <w:jc w:val="center"/>
              <w:rPr>
                <w:rFonts w:ascii="Times New Roman" w:hAnsi="Times New Roman" w:eastAsia="仿宋" w:cs="仿宋"/>
                <w:sz w:val="28"/>
                <w:szCs w:val="28"/>
              </w:rPr>
            </w:pPr>
          </w:p>
        </w:tc>
        <w:tc>
          <w:tcPr>
            <w:tcW w:w="1455" w:type="dxa"/>
            <w:vMerge w:val="restart"/>
          </w:tcPr>
          <w:p>
            <w:pPr>
              <w:snapToGrid w:val="0"/>
              <w:spacing w:line="560" w:lineRule="exact"/>
              <w:jc w:val="center"/>
              <w:rPr>
                <w:rFonts w:ascii="Times New Roman" w:hAnsi="Times New Roman" w:eastAsia="仿宋" w:cs="仿宋"/>
                <w:sz w:val="28"/>
                <w:szCs w:val="28"/>
              </w:rPr>
            </w:pPr>
          </w:p>
        </w:tc>
        <w:tc>
          <w:tcPr>
            <w:tcW w:w="1755" w:type="dxa"/>
          </w:tcPr>
          <w:p>
            <w:pPr>
              <w:snapToGrid w:val="0"/>
              <w:spacing w:line="560" w:lineRule="exact"/>
              <w:jc w:val="center"/>
              <w:rPr>
                <w:rFonts w:ascii="Times New Roman" w:hAnsi="Times New Roman" w:eastAsia="仿宋" w:cs="仿宋"/>
                <w:sz w:val="28"/>
                <w:szCs w:val="28"/>
              </w:rPr>
            </w:pPr>
          </w:p>
        </w:tc>
        <w:tc>
          <w:tcPr>
            <w:tcW w:w="1560" w:type="dxa"/>
          </w:tcPr>
          <w:p>
            <w:pPr>
              <w:snapToGrid w:val="0"/>
              <w:spacing w:line="560" w:lineRule="exact"/>
              <w:jc w:val="center"/>
              <w:rPr>
                <w:rFonts w:ascii="Times New Roman" w:hAnsi="Times New Roman" w:eastAsia="仿宋" w:cs="仿宋"/>
                <w:sz w:val="28"/>
                <w:szCs w:val="28"/>
              </w:rPr>
            </w:pPr>
          </w:p>
        </w:tc>
        <w:tc>
          <w:tcPr>
            <w:tcW w:w="1399" w:type="dxa"/>
          </w:tcPr>
          <w:p>
            <w:pPr>
              <w:snapToGrid w:val="0"/>
              <w:spacing w:line="560" w:lineRule="exact"/>
              <w:jc w:val="center"/>
              <w:rPr>
                <w:rFonts w:ascii="Times New Roman" w:hAnsi="Times New Roman" w:eastAsia="仿宋" w:cs="仿宋"/>
                <w:sz w:val="28"/>
                <w:szCs w:val="28"/>
              </w:rPr>
            </w:pPr>
          </w:p>
        </w:tc>
        <w:tc>
          <w:tcPr>
            <w:tcW w:w="1409" w:type="dxa"/>
          </w:tcPr>
          <w:p>
            <w:pPr>
              <w:snapToGrid w:val="0"/>
              <w:spacing w:line="560" w:lineRule="exact"/>
              <w:jc w:val="center"/>
              <w:rPr>
                <w:rFonts w:ascii="Times New Roman" w:hAnsi="Times New Roman" w:eastAsia="仿宋" w:cs="仿宋"/>
                <w:sz w:val="28"/>
                <w:szCs w:val="28"/>
              </w:rPr>
            </w:pPr>
          </w:p>
        </w:tc>
        <w:tc>
          <w:tcPr>
            <w:tcW w:w="1474" w:type="dxa"/>
          </w:tcPr>
          <w:p>
            <w:pPr>
              <w:snapToGrid w:val="0"/>
              <w:spacing w:line="560" w:lineRule="exact"/>
              <w:jc w:val="center"/>
              <w:rPr>
                <w:rFonts w:ascii="Times New Roman" w:hAnsi="Times New Roman" w:eastAsia="仿宋" w:cs="仿宋"/>
                <w:sz w:val="28"/>
                <w:szCs w:val="28"/>
              </w:rPr>
            </w:pPr>
          </w:p>
        </w:tc>
        <w:tc>
          <w:tcPr>
            <w:tcW w:w="1358" w:type="dxa"/>
          </w:tcPr>
          <w:p>
            <w:pPr>
              <w:snapToGrid w:val="0"/>
              <w:spacing w:line="560" w:lineRule="exact"/>
              <w:jc w:val="center"/>
              <w:rPr>
                <w:rFonts w:ascii="Times New Roman" w:hAnsi="Times New Roman" w:eastAsia="仿宋" w:cs="仿宋"/>
                <w:sz w:val="28"/>
                <w:szCs w:val="28"/>
              </w:rPr>
            </w:pPr>
          </w:p>
        </w:tc>
        <w:tc>
          <w:tcPr>
            <w:tcW w:w="1530" w:type="dxa"/>
          </w:tcPr>
          <w:p>
            <w:pPr>
              <w:snapToGrid w:val="0"/>
              <w:spacing w:line="560" w:lineRule="exact"/>
              <w:jc w:val="center"/>
              <w:rPr>
                <w:rFonts w:ascii="Times New Roman" w:hAnsi="Times New Roman"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2</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3</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4</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5</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6</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7</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snapToGrid w:val="0"/>
              <w:spacing w:line="560" w:lineRule="exact"/>
              <w:jc w:val="center"/>
              <w:rPr>
                <w:rFonts w:ascii="Times New Roman" w:hAnsi="Times New Roman" w:eastAsia="仿宋" w:cs="仿宋"/>
                <w:sz w:val="28"/>
                <w:szCs w:val="28"/>
              </w:rPr>
            </w:pPr>
            <w:r>
              <w:rPr>
                <w:rFonts w:hint="eastAsia" w:ascii="Times New Roman" w:hAnsi="Times New Roman" w:eastAsia="仿宋" w:cs="仿宋"/>
                <w:sz w:val="28"/>
                <w:szCs w:val="28"/>
              </w:rPr>
              <w:t>8</w:t>
            </w:r>
          </w:p>
        </w:tc>
        <w:tc>
          <w:tcPr>
            <w:tcW w:w="121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455" w:type="dxa"/>
            <w:vMerge w:val="continue"/>
          </w:tcPr>
          <w:p>
            <w:pPr>
              <w:snapToGrid w:val="0"/>
              <w:spacing w:line="560" w:lineRule="exact"/>
              <w:jc w:val="center"/>
              <w:rPr>
                <w:rFonts w:ascii="Times New Roman" w:hAnsi="Times New Roman" w:eastAsia="方正小标宋简体" w:cs="方正小标宋简体"/>
                <w:sz w:val="28"/>
                <w:szCs w:val="28"/>
              </w:rPr>
            </w:pPr>
          </w:p>
        </w:tc>
        <w:tc>
          <w:tcPr>
            <w:tcW w:w="1755" w:type="dxa"/>
          </w:tcPr>
          <w:p>
            <w:pPr>
              <w:snapToGrid w:val="0"/>
              <w:spacing w:line="560" w:lineRule="exact"/>
              <w:jc w:val="center"/>
              <w:rPr>
                <w:rFonts w:ascii="Times New Roman" w:hAnsi="Times New Roman" w:eastAsia="方正小标宋简体" w:cs="方正小标宋简体"/>
                <w:sz w:val="28"/>
                <w:szCs w:val="28"/>
              </w:rPr>
            </w:pPr>
          </w:p>
        </w:tc>
        <w:tc>
          <w:tcPr>
            <w:tcW w:w="1560" w:type="dxa"/>
          </w:tcPr>
          <w:p>
            <w:pPr>
              <w:snapToGrid w:val="0"/>
              <w:spacing w:line="560" w:lineRule="exact"/>
              <w:jc w:val="center"/>
              <w:rPr>
                <w:rFonts w:ascii="Times New Roman" w:hAnsi="Times New Roman" w:eastAsia="方正小标宋简体" w:cs="方正小标宋简体"/>
                <w:sz w:val="28"/>
                <w:szCs w:val="28"/>
              </w:rPr>
            </w:pPr>
          </w:p>
        </w:tc>
        <w:tc>
          <w:tcPr>
            <w:tcW w:w="1399" w:type="dxa"/>
          </w:tcPr>
          <w:p>
            <w:pPr>
              <w:snapToGrid w:val="0"/>
              <w:spacing w:line="560" w:lineRule="exact"/>
              <w:jc w:val="center"/>
              <w:rPr>
                <w:rFonts w:ascii="Times New Roman" w:hAnsi="Times New Roman" w:eastAsia="方正小标宋简体" w:cs="方正小标宋简体"/>
                <w:sz w:val="28"/>
                <w:szCs w:val="28"/>
              </w:rPr>
            </w:pPr>
          </w:p>
        </w:tc>
        <w:tc>
          <w:tcPr>
            <w:tcW w:w="1409" w:type="dxa"/>
          </w:tcPr>
          <w:p>
            <w:pPr>
              <w:snapToGrid w:val="0"/>
              <w:spacing w:line="560" w:lineRule="exact"/>
              <w:jc w:val="center"/>
              <w:rPr>
                <w:rFonts w:ascii="Times New Roman" w:hAnsi="Times New Roman" w:eastAsia="方正小标宋简体" w:cs="方正小标宋简体"/>
                <w:sz w:val="28"/>
                <w:szCs w:val="28"/>
              </w:rPr>
            </w:pPr>
          </w:p>
        </w:tc>
        <w:tc>
          <w:tcPr>
            <w:tcW w:w="1474" w:type="dxa"/>
          </w:tcPr>
          <w:p>
            <w:pPr>
              <w:snapToGrid w:val="0"/>
              <w:spacing w:line="560" w:lineRule="exact"/>
              <w:jc w:val="center"/>
              <w:rPr>
                <w:rFonts w:ascii="Times New Roman" w:hAnsi="Times New Roman" w:eastAsia="方正小标宋简体" w:cs="方正小标宋简体"/>
                <w:sz w:val="28"/>
                <w:szCs w:val="28"/>
              </w:rPr>
            </w:pPr>
          </w:p>
        </w:tc>
        <w:tc>
          <w:tcPr>
            <w:tcW w:w="1358" w:type="dxa"/>
          </w:tcPr>
          <w:p>
            <w:pPr>
              <w:snapToGrid w:val="0"/>
              <w:spacing w:line="560" w:lineRule="exact"/>
              <w:jc w:val="center"/>
              <w:rPr>
                <w:rFonts w:ascii="Times New Roman" w:hAnsi="Times New Roman" w:eastAsia="方正小标宋简体" w:cs="方正小标宋简体"/>
                <w:sz w:val="28"/>
                <w:szCs w:val="28"/>
              </w:rPr>
            </w:pPr>
          </w:p>
        </w:tc>
        <w:tc>
          <w:tcPr>
            <w:tcW w:w="1530" w:type="dxa"/>
          </w:tcPr>
          <w:p>
            <w:pPr>
              <w:snapToGrid w:val="0"/>
              <w:spacing w:line="560" w:lineRule="exact"/>
              <w:jc w:val="center"/>
              <w:rPr>
                <w:rFonts w:ascii="Times New Roman" w:hAnsi="Times New Roman" w:eastAsia="方正小标宋简体" w:cs="方正小标宋简体"/>
                <w:sz w:val="28"/>
                <w:szCs w:val="28"/>
              </w:rPr>
            </w:pPr>
          </w:p>
        </w:tc>
      </w:tr>
    </w:tbl>
    <w:p>
      <w:pPr>
        <w:snapToGrid w:val="0"/>
        <w:spacing w:line="560" w:lineRule="exact"/>
        <w:rPr>
          <w:rFonts w:ascii="Times New Roman" w:hAnsi="Times New Roman" w:eastAsia="仿宋" w:cs="仿宋"/>
          <w:i/>
          <w:iCs/>
          <w:kern w:val="0"/>
          <w:sz w:val="40"/>
          <w:szCs w:val="40"/>
        </w:rPr>
        <w:sectPr>
          <w:pgSz w:w="16838" w:h="11906" w:orient="landscape"/>
          <w:pgMar w:top="1803" w:right="1440" w:bottom="1803" w:left="1440" w:header="851" w:footer="992" w:gutter="0"/>
          <w:pgNumType w:fmt="decimal"/>
          <w:cols w:space="720" w:num="1"/>
          <w:docGrid w:type="lines" w:linePitch="319" w:charSpace="0"/>
        </w:sectPr>
      </w:pPr>
      <w:r>
        <w:rPr>
          <w:rFonts w:hint="eastAsia" w:ascii="Times New Roman" w:hAnsi="Times New Roman" w:eastAsia="仿宋" w:cs="仿宋"/>
          <w:szCs w:val="32"/>
        </w:rPr>
        <w:t xml:space="preserve">    备注：本表一式两份，同时报市医疗保障局、市卫生健康委。</w:t>
      </w:r>
    </w:p>
    <w:p>
      <w:pPr>
        <w:widowControl/>
        <w:jc w:val="left"/>
        <w:rPr>
          <w:rFonts w:ascii="Times New Roman" w:hAnsi="Times New Roman" w:eastAsia="方正黑体_GBK" w:cs="方正黑体_GBK"/>
          <w:szCs w:val="32"/>
        </w:rPr>
      </w:pPr>
      <w:r>
        <w:rPr>
          <w:rFonts w:hint="eastAsia" w:ascii="Times New Roman" w:hAnsi="Times New Roman" w:eastAsia="方正黑体_GBK" w:cs="方正黑体_GBK"/>
          <w:sz w:val="32"/>
          <w:szCs w:val="32"/>
        </w:rPr>
        <w:t>附件4</w:t>
      </w:r>
    </w:p>
    <w:p>
      <w:pPr>
        <w:snapToGrid w:val="0"/>
        <w:spacing w:line="420" w:lineRule="exact"/>
        <w:jc w:val="center"/>
        <w:rPr>
          <w:rFonts w:hint="eastAsia" w:ascii="方正小标宋_GBK" w:hAnsi="方正小标宋_GBK" w:eastAsia="方正小标宋_GBK" w:cs="方正小标宋_GBK"/>
          <w:color w:val="000000"/>
          <w:sz w:val="44"/>
          <w:szCs w:val="44"/>
        </w:rPr>
      </w:pPr>
    </w:p>
    <w:p>
      <w:pPr>
        <w:snapToGrid w:val="0"/>
        <w:spacing w:line="42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重庆市××医院日间手术同意书</w:t>
      </w:r>
    </w:p>
    <w:p>
      <w:pPr>
        <w:snapToGrid w:val="0"/>
        <w:spacing w:line="420" w:lineRule="exact"/>
        <w:jc w:val="center"/>
        <w:rPr>
          <w:rFonts w:ascii="Times New Roman" w:hAnsi="Times New Roman" w:eastAsia="楷体" w:cs="楷体"/>
          <w:color w:val="000000"/>
          <w:szCs w:val="32"/>
        </w:rPr>
      </w:pPr>
      <w:r>
        <w:rPr>
          <w:rFonts w:hint="eastAsia" w:ascii="方正楷体_GBK" w:hAnsi="方正楷体_GBK" w:eastAsia="方正楷体_GBK" w:cs="方正楷体_GBK"/>
          <w:color w:val="000000"/>
          <w:szCs w:val="32"/>
        </w:rPr>
        <w:t>（模板）</w:t>
      </w:r>
    </w:p>
    <w:p>
      <w:pPr>
        <w:snapToGrid w:val="0"/>
        <w:spacing w:line="420" w:lineRule="exact"/>
        <w:jc w:val="center"/>
        <w:rPr>
          <w:rFonts w:ascii="Times New Roman" w:hAnsi="Times New Roman" w:cs="方正仿宋_GBK"/>
          <w:color w:val="000000"/>
          <w:szCs w:val="32"/>
        </w:rPr>
      </w:pPr>
      <w:r>
        <w:rPr>
          <w:rFonts w:hint="eastAsia" w:ascii="Times New Roman" w:hAnsi="Times New Roman" w:eastAsia="仿宋" w:cs="仿宋"/>
          <w:color w:val="000000"/>
          <w:sz w:val="24"/>
        </w:rPr>
        <w:t xml:space="preserve">                      </w:t>
      </w:r>
      <w:r>
        <w:rPr>
          <w:rFonts w:hint="eastAsia" w:ascii="Times New Roman" w:hAnsi="Times New Roman" w:cs="方正仿宋_GBK"/>
          <w:color w:val="000000"/>
          <w:szCs w:val="32"/>
        </w:rPr>
        <w:t xml:space="preserve">                   编号：</w:t>
      </w:r>
    </w:p>
    <w:p>
      <w:pPr>
        <w:snapToGrid w:val="0"/>
        <w:spacing w:line="420" w:lineRule="exact"/>
        <w:ind w:firstLine="420" w:firstLineChars="200"/>
        <w:rPr>
          <w:rFonts w:ascii="Times New Roman" w:hAnsi="Times New Roman" w:cs="方正仿宋_GBK"/>
          <w:color w:val="000000"/>
          <w:szCs w:val="32"/>
        </w:rPr>
      </w:pPr>
      <w:r>
        <w:rPr>
          <w:rFonts w:hint="eastAsia" w:ascii="Times New Roman" w:hAnsi="Times New Roman" w:cs="方正仿宋_GBK"/>
          <w:color w:val="000000"/>
          <w:szCs w:val="32"/>
        </w:rPr>
        <w:t>经临床医师诊治，并经患者    、社保卡号：      同意办理日间手术登记手续，若因各种原因最终未办理实际住院登记手续者，其日间手术院前门诊费用按门诊或一般住院结算。特此告知患者。</w:t>
      </w:r>
    </w:p>
    <w:p>
      <w:pPr>
        <w:snapToGrid w:val="0"/>
        <w:spacing w:line="420" w:lineRule="exact"/>
        <w:rPr>
          <w:rFonts w:ascii="Times New Roman" w:hAnsi="Times New Roman" w:cs="方正仿宋_GBK"/>
          <w:color w:val="000000"/>
          <w:szCs w:val="32"/>
        </w:rPr>
      </w:pP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 xml:space="preserve">患者签字：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经治医师签字：</w:t>
      </w:r>
    </w:p>
    <w:p>
      <w:pPr>
        <w:snapToGrid w:val="0"/>
        <w:spacing w:line="420" w:lineRule="exact"/>
        <w:ind w:firstLine="630" w:firstLineChars="300"/>
        <w:rPr>
          <w:rFonts w:ascii="Times New Roman" w:hAnsi="Times New Roman" w:cs="方正仿宋_GBK"/>
          <w:color w:val="000000"/>
          <w:szCs w:val="32"/>
        </w:rPr>
      </w:pPr>
      <w:r>
        <w:rPr>
          <w:rFonts w:hint="eastAsia" w:ascii="Times New Roman" w:hAnsi="Times New Roman" w:cs="方正仿宋_GBK"/>
          <w:color w:val="000000"/>
          <w:szCs w:val="32"/>
        </w:rPr>
        <w:t xml:space="preserve">年  月  日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年  月  日</w:t>
      </w: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 xml:space="preserve">代理人签字：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院医保办签字（盖章）：</w:t>
      </w: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 xml:space="preserve">      年  月  日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年  月  日</w:t>
      </w: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患者/代理人联系电话：</w:t>
      </w:r>
    </w:p>
    <w:p>
      <w:pPr>
        <w:snapToGrid w:val="0"/>
        <w:spacing w:line="420" w:lineRule="exact"/>
        <w:rPr>
          <w:rFonts w:ascii="仿宋" w:hAnsi="仿宋" w:eastAsia="仿宋" w:cs="仿宋"/>
          <w:color w:val="000000"/>
          <w:szCs w:val="32"/>
        </w:rPr>
      </w:pPr>
      <w:r>
        <mc:AlternateContent>
          <mc:Choice Requires="wps">
            <w:drawing>
              <wp:anchor distT="0" distB="0" distL="114300" distR="114300" simplePos="0" relativeHeight="251662336" behindDoc="0" locked="0" layoutInCell="1" allowOverlap="1">
                <wp:simplePos x="0" y="0"/>
                <wp:positionH relativeFrom="column">
                  <wp:posOffset>27940</wp:posOffset>
                </wp:positionH>
                <wp:positionV relativeFrom="paragraph">
                  <wp:posOffset>112395</wp:posOffset>
                </wp:positionV>
                <wp:extent cx="5476875" cy="635"/>
                <wp:effectExtent l="0" t="13970" r="9525" b="15875"/>
                <wp:wrapNone/>
                <wp:docPr id="2" name="直线 2"/>
                <wp:cNvGraphicFramePr/>
                <a:graphic xmlns:a="http://schemas.openxmlformats.org/drawingml/2006/main">
                  <a:graphicData uri="http://schemas.microsoft.com/office/word/2010/wordprocessingShape">
                    <wps:wsp>
                      <wps:cNvCnPr/>
                      <wps:spPr>
                        <a:xfrm>
                          <a:off x="0" y="0"/>
                          <a:ext cx="5476875" cy="635"/>
                        </a:xfrm>
                        <a:prstGeom prst="line">
                          <a:avLst/>
                        </a:prstGeom>
                        <a:ln w="28575" cap="flat" cmpd="sng">
                          <a:solidFill>
                            <a:srgbClr val="000000"/>
                          </a:solidFill>
                          <a:prstDash val="dash"/>
                          <a:headEnd type="none" w="med" len="med"/>
                          <a:tailEnd type="none" w="med" len="med"/>
                        </a:ln>
                        <a:effectLst/>
                      </wps:spPr>
                      <wps:bodyPr/>
                    </wps:wsp>
                  </a:graphicData>
                </a:graphic>
              </wp:anchor>
            </w:drawing>
          </mc:Choice>
          <mc:Fallback>
            <w:pict>
              <v:line id="直线 2" o:spid="_x0000_s1026" o:spt="20" style="position:absolute;left:0pt;margin-left:2.2pt;margin-top:8.85pt;height:0.05pt;width:431.25pt;z-index:251662336;mso-width-relative:page;mso-height-relative:page;" filled="f" stroked="t" coordsize="21600,21600" o:gfxdata="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WSP891QAAAAcB&#10;AAAPAAAAAAAAAAEAIAAAACIAAABkcnMvZG93bnJldi54bWxQSwECFAAUAAAACACHTuJAyFCqJuUB&#10;AADfAwAADgAAAAAAAAABACAAAAAkAQAAZHJzL2Uyb0RvYy54bWxQSwUGAAAAAAYABgBZAQAAewUA&#10;AAAA&#10;">
                <v:fill on="f" focussize="0,0"/>
                <v:stroke weight="2.25pt" color="#000000" joinstyle="round" dashstyle="dash"/>
                <v:imagedata o:title=""/>
                <o:lock v:ext="edit" aspectratio="f"/>
              </v:line>
            </w:pict>
          </mc:Fallback>
        </mc:AlternateContent>
      </w:r>
    </w:p>
    <w:p>
      <w:pPr>
        <w:snapToGrid w:val="0"/>
        <w:spacing w:line="42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重庆市××医院日间手术同意书</w:t>
      </w:r>
    </w:p>
    <w:p>
      <w:pPr>
        <w:snapToGrid w:val="0"/>
        <w:spacing w:line="420" w:lineRule="exact"/>
        <w:jc w:val="center"/>
        <w:rPr>
          <w:rFonts w:ascii="Times New Roman" w:hAnsi="Times New Roman" w:cs="方正仿宋_GBK"/>
          <w:color w:val="000000"/>
          <w:szCs w:val="32"/>
        </w:rPr>
      </w:pPr>
      <w:r>
        <w:rPr>
          <w:rFonts w:hint="eastAsia" w:ascii="Times New Roman" w:hAnsi="Times New Roman" w:cs="方正仿宋_GBK"/>
          <w:color w:val="000000"/>
          <w:szCs w:val="32"/>
        </w:rPr>
        <w:t>（模板）</w:t>
      </w:r>
    </w:p>
    <w:p>
      <w:pPr>
        <w:snapToGrid w:val="0"/>
        <w:spacing w:line="420" w:lineRule="exact"/>
        <w:jc w:val="center"/>
        <w:rPr>
          <w:rFonts w:ascii="Times New Roman" w:hAnsi="Times New Roman" w:cs="方正仿宋_GBK"/>
          <w:color w:val="000000"/>
          <w:szCs w:val="32"/>
        </w:rPr>
      </w:pPr>
      <w:r>
        <w:rPr>
          <w:rFonts w:hint="eastAsia" w:ascii="Times New Roman" w:hAnsi="Times New Roman" w:cs="方正仿宋_GBK"/>
          <w:color w:val="000000"/>
          <w:szCs w:val="32"/>
        </w:rPr>
        <w:t xml:space="preserve">                                         编号：</w:t>
      </w:r>
    </w:p>
    <w:p>
      <w:pPr>
        <w:snapToGrid w:val="0"/>
        <w:spacing w:line="420" w:lineRule="exact"/>
        <w:ind w:firstLine="420" w:firstLineChars="200"/>
        <w:rPr>
          <w:rFonts w:ascii="Times New Roman" w:hAnsi="Times New Roman" w:cs="方正仿宋_GBK"/>
          <w:color w:val="000000"/>
          <w:szCs w:val="32"/>
        </w:rPr>
      </w:pPr>
      <w:r>
        <w:rPr>
          <w:rFonts w:hint="eastAsia" w:ascii="Times New Roman" w:hAnsi="Times New Roman" w:cs="方正仿宋_GBK"/>
          <w:color w:val="000000"/>
          <w:szCs w:val="32"/>
        </w:rPr>
        <w:t>经临床医师诊治，并经患者    、社保卡号：      同意办理日间手术登记手续，若因各种原因最终未办理实际住院登记手续者，其日间手术院前门诊费用按门诊或一般住院结算。特此告知患者。</w:t>
      </w:r>
    </w:p>
    <w:p>
      <w:pPr>
        <w:snapToGrid w:val="0"/>
        <w:spacing w:line="420" w:lineRule="exact"/>
        <w:rPr>
          <w:rFonts w:ascii="Times New Roman" w:hAnsi="Times New Roman" w:cs="方正仿宋_GBK"/>
          <w:color w:val="000000"/>
          <w:szCs w:val="32"/>
        </w:rPr>
      </w:pP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 xml:space="preserve">患者签字：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经治医师签字：</w:t>
      </w:r>
    </w:p>
    <w:p>
      <w:pPr>
        <w:snapToGrid w:val="0"/>
        <w:spacing w:line="420" w:lineRule="exact"/>
        <w:ind w:firstLine="630" w:firstLineChars="300"/>
        <w:rPr>
          <w:rFonts w:ascii="Times New Roman" w:hAnsi="Times New Roman" w:cs="方正仿宋_GBK"/>
          <w:color w:val="000000"/>
          <w:szCs w:val="32"/>
        </w:rPr>
      </w:pPr>
      <w:r>
        <w:rPr>
          <w:rFonts w:hint="eastAsia" w:ascii="Times New Roman" w:hAnsi="Times New Roman" w:cs="方正仿宋_GBK"/>
          <w:color w:val="000000"/>
          <w:szCs w:val="32"/>
        </w:rPr>
        <w:t xml:space="preserve">年  月  日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年  月  日</w:t>
      </w: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 xml:space="preserve">代理人签字：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院医保办签字（盖章）：</w:t>
      </w: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 xml:space="preserve">      年  月  日                    </w:t>
      </w:r>
      <w:r>
        <w:rPr>
          <w:rFonts w:hint="eastAsia" w:ascii="Times New Roman" w:hAnsi="Times New Roman" w:cs="方正仿宋_GBK"/>
          <w:color w:val="000000"/>
          <w:szCs w:val="32"/>
          <w:lang w:eastAsia="zh-CN"/>
        </w:rPr>
        <w:t>　　　　　　　　</w:t>
      </w:r>
      <w:r>
        <w:rPr>
          <w:rFonts w:hint="eastAsia" w:ascii="Times New Roman" w:hAnsi="Times New Roman" w:cs="方正仿宋_GBK"/>
          <w:color w:val="000000"/>
          <w:szCs w:val="32"/>
        </w:rPr>
        <w:t xml:space="preserve">  年  月  日</w:t>
      </w:r>
    </w:p>
    <w:p>
      <w:pPr>
        <w:snapToGrid w:val="0"/>
        <w:spacing w:line="420" w:lineRule="exact"/>
        <w:rPr>
          <w:rFonts w:ascii="Times New Roman" w:hAnsi="Times New Roman" w:cs="方正仿宋_GBK"/>
          <w:color w:val="000000"/>
          <w:szCs w:val="32"/>
        </w:rPr>
      </w:pPr>
      <w:r>
        <w:rPr>
          <w:rFonts w:hint="eastAsia" w:ascii="Times New Roman" w:hAnsi="Times New Roman" w:cs="方正仿宋_GBK"/>
          <w:color w:val="000000"/>
          <w:szCs w:val="32"/>
        </w:rPr>
        <w:t>患者/代理人联系电话：</w:t>
      </w:r>
    </w:p>
    <w:p>
      <w:pPr>
        <w:snapToGrid w:val="0"/>
        <w:spacing w:line="420" w:lineRule="exact"/>
      </w:pPr>
    </w:p>
    <w:p>
      <w:pPr>
        <w:ind w:right="24"/>
        <w:rPr>
          <w:rFonts w:ascii="Times New Roman" w:hAnsi="Times New Roman"/>
        </w:rPr>
      </w:pPr>
    </w:p>
    <w:p>
      <w:pPr>
        <w:ind w:right="24"/>
        <w:rPr>
          <w:rFonts w:ascii="Times New Roman" w:hAnsi="Times New Roman"/>
        </w:rPr>
      </w:pPr>
    </w:p>
    <w:p>
      <w:pPr>
        <w:ind w:right="24"/>
        <w:rPr>
          <w:rFonts w:ascii="Times New Roman" w:hAnsi="Times New Roman" w:eastAsiaTheme="minorEastAsia"/>
          <w:vanish/>
        </w:rPr>
      </w:pPr>
    </w:p>
    <w:p>
      <w:pPr>
        <w:ind w:right="24"/>
        <w:rPr>
          <w:rFonts w:ascii="Times New Roman" w:hAnsi="Times New Roman" w:eastAsiaTheme="minorEastAsia"/>
          <w:vanish/>
        </w:rPr>
      </w:pPr>
    </w:p>
    <w:p>
      <w:pPr>
        <w:ind w:right="24"/>
        <w:rPr>
          <w:rFonts w:ascii="Times New Roman" w:hAnsi="Times New Roman" w:eastAsiaTheme="minorEastAsia"/>
          <w:vanish/>
        </w:rPr>
      </w:pPr>
    </w:p>
    <w:p>
      <w:pPr>
        <w:ind w:right="24"/>
        <w:rPr>
          <w:rFonts w:ascii="Times New Roman" w:hAnsi="Times New Roman" w:eastAsiaTheme="minorEastAsia"/>
          <w:vanish/>
        </w:rPr>
      </w:pPr>
    </w:p>
    <w:p>
      <w:pPr>
        <w:ind w:right="24"/>
        <w:rPr>
          <w:rFonts w:ascii="Times New Roman" w:hAnsi="Times New Roman" w:eastAsiaTheme="minorEastAsia"/>
          <w:vanish/>
        </w:rPr>
      </w:pPr>
    </w:p>
    <w:p>
      <w:pPr>
        <w:ind w:right="24"/>
        <w:rPr>
          <w:rFonts w:ascii="Times New Roman" w:hAnsi="Times New Roman" w:eastAsiaTheme="minorEastAsia"/>
          <w:vanish/>
        </w:rPr>
      </w:pPr>
    </w:p>
    <w:p>
      <w:pPr>
        <w:ind w:right="24"/>
        <w:rPr>
          <w:rFonts w:ascii="Times New Roman" w:hAnsi="Times New Roman" w:eastAsiaTheme="minorEastAsia"/>
          <w:vanish/>
        </w:rPr>
      </w:pPr>
    </w:p>
    <w:sectPr>
      <w:headerReference r:id="rId6" w:type="default"/>
      <w:footerReference r:id="rId7" w:type="default"/>
      <w:pgSz w:w="11906" w:h="16838"/>
      <w:pgMar w:top="1962" w:right="1474" w:bottom="1848"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3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-327660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8pt;height:144pt;width:144pt;mso-position-horizontal:outside;mso-position-horizontal-relative:margin;mso-wrap-style:none;z-index:251665408;mso-width-relative:page;mso-height-relative:page;" filled="f" stroked="f" coordsize="21600,21600" o:gfxdata="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Af9DCp2QAAAAwBAAAPAAAAAAAAAAEAIAAAACIAAABkcnMvZG93bnJldi54&#10;bWxQSwECFAAUAAAACACHTuJAJ0wnyN0CAAAkBgAADgAAAAAAAAABACAAAAAoAQAAZHJzL2Uyb0Rv&#10;Yy54bWxQSwUGAAAAAAYABgBZAQAAdwY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-76835</wp:posOffset>
              </wp:positionV>
              <wp:extent cx="5616575" cy="1905"/>
              <wp:effectExtent l="0" t="10795" r="6985" b="17780"/>
              <wp:wrapNone/>
              <wp:docPr id="3" name="直接连接符 3"/>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05pt;height:0.15pt;width:442.25pt;z-index:251664384;mso-width-relative:page;mso-height-relative:page;" filled="f" stroked="t" coordsize="21600,21600" o:gfxdata="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xtUovV&#10;AAAACQEAAA8AAAAAAAAAAQAgAAAAIgAAAGRycy9kb3ducmV2LnhtbFBLAQIUABQAAAAIAIdO4kBJ&#10;SI+f6gEAALUDAAAOAAAAAAAAAAEAIAAAACQBAABkcnMvZTJvRG9jLnhtbFBLBQYAAAAABgAGAFkB&#10;AACA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CN"/>
      </w:rPr>
      <w:t>重庆市医疗保障局发布</w: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VfoMkBAACa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5xE15T4rjFiV9+fL/8/H359Y3c&#10;5P70AWpMuw+YmIa3fsDc2Q/ozLIHFW3+oiCCcezu+dpdOSQi8qP1ar2uMCQwNl8Qnz08DxHSO+kt&#10;yUZDI46vdJWfPkAaU+eUXM35O21MGaFxfzkQM3tY5j5yzFYa9sMkaO/bM+rpcfINdbjolJj3Dhub&#10;l2Q24mzsZ+MYoj50SG1ZeEF4c0xIonDLFUbYqTCOrKib1ivvxON7yXr4pb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LpV+gyQEAAJoDAAAOAAAAAAAAAAEAIAAAAB4BAABkcnMvZTJvRG9j&#10;LnhtbFBLBQYAAAAABgAGAFkBAABZBQ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color w:val="FAFAFA"/>
        <w:sz w:val="32"/>
      </w:rPr>
      <mc:AlternateContent>
        <mc:Choice Requires="wps">
          <w:drawing>
            <wp:anchor distT="0" distB="0" distL="114300" distR="114300" simplePos="0" relativeHeight="251667456" behindDoc="0" locked="0" layoutInCell="1" allowOverlap="1">
              <wp:simplePos x="0" y="0"/>
              <wp:positionH relativeFrom="column">
                <wp:posOffset>7620</wp:posOffset>
              </wp:positionH>
              <wp:positionV relativeFrom="paragraph">
                <wp:posOffset>-76835</wp:posOffset>
              </wp:positionV>
              <wp:extent cx="5616575" cy="1905"/>
              <wp:effectExtent l="0" t="10795" r="6985" b="17780"/>
              <wp:wrapNone/>
              <wp:docPr id="10" name="直接连接符 10"/>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05pt;height:0.15pt;width:442.25pt;z-index:251667456;mso-width-relative:page;mso-height-relative:page;" filled="f" stroked="t" coordsize="21600,21600" o:gfxdata="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xtUovV&#10;AAAACQEAAA8AAAAAAAAAAQAgAAAAIgAAAGRycy9kb3ducmV2LnhtbFBLAQIUABQAAAAIAIdO4kCK&#10;SMjO6gEAALcDAAAOAAAAAAAAAAEAIAAAACQBAABkcnMvZTJvRG9jLnhtbFBLBQYAAAAABgAGAFkB&#10;AACA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CN"/>
      </w:rPr>
      <w:t>重庆市医疗保障局</w:t>
    </w:r>
    <w:bookmarkStart w:id="0" w:name="_GoBack"/>
    <w:bookmarkEnd w:id="0"/>
    <w:r>
      <w:rPr>
        <w:rFonts w:hint="eastAsia" w:ascii="宋体" w:hAnsi="宋体" w:eastAsia="宋体" w:cs="宋体"/>
        <w:b/>
        <w:bCs/>
        <w:color w:val="005192"/>
        <w:sz w:val="28"/>
        <w:szCs w:val="44"/>
        <w:lang w:val="en-US" w:eastAsia="zh-CN"/>
      </w:rPr>
      <w:t>发布</w:t>
    </w: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W0HSskBAACa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SLm7CkxHGLE798/3b58evy8yu5&#10;yf3pA9SY9hgwMQ33fsDc2Q/ozLIHFW3+oiCCcezu+dpdOSQi8qP1ar2uMCQwNl8Qnz09DxHSW+kt&#10;yUZDI46vdJWf3kMaU+eUXM35B21MGaFxfzkQM3tY5j5yzFYa9sMkaO/bM+rpcfINdbjolJh3Dhub&#10;l2Q24mzsZ+MYoj50SG1ZeEG4OyYkUbjlCiPsVBhHVtRN65V34s97yXr6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tbQdKyQEAAJoDAAAOAAAAAAAAAAEAIAAAAB4BAABkcnMvZTJvRG9j&#10;LnhtbFBLBQYAAAAABgAGAFkBAABZ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CN"/>
      </w:rPr>
      <w:t xml:space="preserve">  </w:t>
    </w:r>
  </w:p>
  <w:p>
    <w:pPr>
      <w:pStyle w:val="2"/>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lang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418465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2.95pt;height:0pt;width:442.55pt;z-index:251663360;mso-width-relative:page;mso-height-relative:page;" filled="f" stroked="t" coordsize="21600,21600" o:gfxdata="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I3HqvtEAAAAHAQAA&#10;DwAAAAAAAAABACAAAAAiAAAAZHJzL2Rvd25yZXYueG1sUEsBAhQAFAAAAAgAh07iQLDRo9bnAQAA&#10;sgMAAA4AAAAAAAAAAQAgAAAAIAEAAGRycy9lMm9Eb2MueG1sUEsFBgAAAAAGAAYAWQEAAHkFAAAA&#10;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重庆市医疗保障局</w:t>
    </w:r>
    <w:r>
      <w:rPr>
        <w:rFonts w:hint="eastAsia" w:ascii="宋体" w:hAnsi="宋体" w:eastAsia="宋体" w:cs="宋体"/>
        <w:b/>
        <w:bCs/>
        <w:color w:val="005192"/>
        <w:sz w:val="32"/>
        <w:szCs w:val="32"/>
        <w:lang w:val="en-US" w:eastAsia="zh-Hans"/>
      </w:rPr>
      <w:t>规范性文件</w:t>
    </w:r>
  </w:p>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eastAsia"/>
        <w:vanish/>
        <w:lang w:eastAsia="zh-CN"/>
      </w:rPr>
    </w:pPr>
    <w:r>
      <w:rPr>
        <w:rFonts w:hint="eastAsia" w:ascii="方正仿宋_GBK" w:hAnsi="方正仿宋_GBK" w:eastAsia="方正仿宋_GBK" w:cs="方正仿宋_GBK"/>
        <w:b/>
        <w:bCs/>
        <w:vanish/>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366395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8.85pt;height:0pt;width:442.55pt;z-index:251659264;mso-width-relative:page;mso-height-relative:page;" filled="f" stroked="t" coordsize="21600,21600" o:gfxdata="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tbi3TAAAABgEA&#10;AA8AAAAAAAAAAQAgAAAAIgAAAGRycy9kb3ducmV2LnhtbFBLAQIUABQAAAAIAIdO4kCKRj3L5gEA&#10;ALIDAAAOAAAAAAAAAAEAIAAAACIBAABkcnMvZTJvRG9jLnhtbFBLBQYAAAAABgAGAFkBAAB6BQAA&#10;AAA=&#10;">
              <v:fill on="f" focussize="0,0"/>
              <v:stroke weight="1.75pt" color="#005192 [3204]"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1A4C7869"/>
    <w:rsid w:val="00962125"/>
    <w:rsid w:val="1A4C7869"/>
    <w:rsid w:val="1DD85BED"/>
    <w:rsid w:val="1F5768C9"/>
    <w:rsid w:val="27C6336D"/>
    <w:rsid w:val="37F35A2D"/>
    <w:rsid w:val="3CE47D83"/>
    <w:rsid w:val="42826D41"/>
    <w:rsid w:val="43F943A7"/>
    <w:rsid w:val="475909FF"/>
    <w:rsid w:val="483428B0"/>
    <w:rsid w:val="4D765D5B"/>
    <w:rsid w:val="4FA54E6A"/>
    <w:rsid w:val="588D7CB0"/>
    <w:rsid w:val="5A184B4C"/>
    <w:rsid w:val="5AF64499"/>
    <w:rsid w:val="5E2A0918"/>
    <w:rsid w:val="63B13F4A"/>
    <w:rsid w:val="65756D55"/>
    <w:rsid w:val="66632EA0"/>
    <w:rsid w:val="6C7A2CAB"/>
    <w:rsid w:val="7A8F3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2022-06-13T01:04:00Z</dcterms:created>
  <dc:creator>姚远</dc:creator>
  <cp:lastModifiedBy>姚远</cp:lastModifiedBy>
  <dcterms:modified xsi:type="dcterms:W3CDTF">2022-06-22T07:09:46Z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CB18C308DDB44E048E512DDC84766FBD</vt:lpwstr>
  </property>
</Properties>
</file>