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重庆市医疗保障局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重庆市人力资源和社会保障局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关于印发《重庆市基本医疗保险、工伤保险和生育保险药品目录（2021年）》的通知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渝医保发〔2021〕76号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各区县（自治县）医疗保障局、人力社保局，两江新区社会保障局、高新区政务服务和社会事务中心、万盛经开区人力社保局，有关单位：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基本医疗保险用药管理暂行办法》（国家医疗保障局令第1号）精神，为贯彻落实《国家医保局人力资源社会保障部关于印发〈国家基本医疗保险、工伤保险和生育保险药品目录（2021年）〉的通知》（医保发〔2021〕50号），进一步提高参保人员的用药保障水平，确定我市医疗、工伤、生育保险药品支付范围，现将《重庆市基本医疗保险、工伤保险和生育保险药品目录（2021年）》（以下简称《重庆药品目录（2021年）》印发给你们，并就有关事项通知如下，请一并遵照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一、及时做好支付范围调整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药品目录（2021年）》由《国家基本医疗保险、工伤保险和生育保险药品目录（2021年）》（以下简称《国家药品目录（2021年）》）以及我市按国家规定增补的民族药、医疗机构制剂、中药饮片（以下统称重庆增补药品）组成。重庆增补药品单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《国家药品目录（2021年）》收载西药和中成药共2860种，其中西药1486种，中成药1374种，基金可以支付的中药饮片892种。国家医保局对《国家药品目录（2021年）》进行调整的，我市按调整内容执行。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重庆增补药品收载中药饮片209种、医疗机构制剂104种、民族药1种。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二、规范谈判药品的支付标准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协议期内国家谈判药品（以下简称谈判药品）执行全国统一的医保支付标准，协议期内不得进行二次议价。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协议期内，谈判药品存在国家医保药品目录未载明的规格需纳入医保支付范围，须由企业按规定向国家医保局提出申请，国家医保局确定支付标准后，我市再按标准执行。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协议期内，如有与谈判药品同通用名药品上市，谈判企业的谈判药品仍按国家确定的医保支付标准执行，同通用名谈判药品的直接挂网价格不得高于谈判确定的同规格医保支付标准，医保支付标准按挂网价执行。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谈判药品纳入药品集中带量采购（含国家组织的集中带量采购和省级含省际联盟集中带量采购），按我市现行药品集中带量采购政策，调整相关谈判药品的医保支付标准。其中，谈判企业的谈判药品属于中选品种，其医保支付标准按中选价格调整；谈判企业的谈判药品属于未中选品种，则在协议期内仍按国家确定的医保支付标准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三、扎实推动谈判药品落地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2021年12月底前，谈判药品要在重庆药品交易所采购平台上直接挂网采购。健全完善谈判药品“双通道”管理机制，协议期内的谈判药品全部纳入我市“双通道”管理范围，在定点医疗机构和国家医保谈判药品药店按现行报销政策实行统一支付。对使用周期较长、疗程费用较高且不属于我市特病门诊保障范围的谈判药品，进一步调整健全现行的国家医保谈判药品门诊用药保障机制，具体药品名单要按照新版谈判药品目录及时更新（另行公布）。要进一步推动新版目录落地执行，强化定点医疗机构协议管理力度，将医疗机构合理配备使用《2021年药品目录》内谈判药品的情况纳入2022年定点医疗机构协议内容。加强国家医保谈判药品药店管理，制定全市统一的补充协议文本，进一步完善准入退出条件，切实提升谈判药品供应保障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各区县（自治县）医保和人力社保部门要会同有关部门指导定点医疗机构合理配备、使用目录内药品。在对医疗机构实施医保基金总额预算分配和结算过程中，应保障参保人对国家谈判药品合理使用，切实做好医保基金支出预算安排，结合医疗机构实际用药情况对年度总额做出合理调整。医疗机构配备和使用国家谈判药品，不纳入医疗机构“医保政策范围内普通住院次均费用”“医保政策范围内特殊疾病门诊月人均费用”等考核指标的计算基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各级医疗机构应根据功能定位、临床需求和诊疗能力等及时配备、规范使用谈判药品，进一步畅通谈判药品进院渠道。临床有使用需求但尚未配备的医疗机构要及时将谈判药品尤其是抗癌药品及慢性病常用药品纳入医疗机构采购用药目录，确保优先配备，切实让老百姓在医疗机构“看得了病”“用得到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按时完成原增补药品消化任务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按照《关于进一步做好我市基本医疗保险、工伤保险和生育保险地方调增乙类药品消化工作的通知》（渝医保发〔2020〕45号）精神，继续做好我市原增补药品的消化工作。第二批需消化药品，于2022年1月1日起不再纳入我市医疗、工伤、生育保险报销；第三批消化药品，于2022年7月1日起不再纳入报销，确保按时完成全部消化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五、继续实施部分谈判药品事前审查管理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按照《国家药品目录（2021年）》中谈判药品的有关规定，对国家谈判药品中明确规定需事前审查后方可使用药品（见附件1），继续执行医保报销事前审查制度。事前审查工作仍按我市国家医保谈判药品门诊用药保障机制有关规定统一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六、规范民族药、医疗机构制剂、中药饮片和中药配方颗粒的管理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按照国家医保局规定，进一步规范我市医保药品增补工作，建立健全动态调整机制，按照我市工作安排，2022年及时启动我市民族药、医疗机构制剂、中药饮片和中药配方颗粒的增补工作，将符合条件的药品纳入我市医保报销，进一步扩大我市医保用药支付范围，助力我市医药产业高质量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对批准文号已注销的医疗机构制剂、与《国家药品目录（2021年）》重复的中药饮片，于2022年1月1日起调出我市医保支付范围（见附件2）。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七、做好组织实施工作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市级经办机构要及时调整信息系统，更新完善数据库，将本次调整中被调入的药品，按规定纳入基金支付范围，被调出的药品要同步调出基金支付范围。各区县（自治县）医保和人力社保部门要高度重视、认真组织，督促辖区内医保定点医疗机构和零售药店2021年12月31日前做好药品信息更新工作。同时，要加强宣传解释工作，充分利用多种渠道做好《重庆药品目录（2021年）》有关政策的宣传解读和解释说明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八、本通知自</w:t>
      </w:r>
      <w:r>
        <w:rPr>
          <w:rFonts w:hint="eastAsia" w:ascii="Times New Roman" w:hAnsi="Times New Roman" w:eastAsia="方正黑体_GBK" w:cs="方正黑体_GBK"/>
          <w:sz w:val="32"/>
          <w:szCs w:val="32"/>
          <w:lang w:val="en-US" w:eastAsia="zh-CN"/>
        </w:rPr>
        <w:t>2022</w:t>
      </w:r>
      <w:r>
        <w:rPr>
          <w:rFonts w:hint="eastAsia" w:ascii="Times New Roman" w:hAnsi="Times New Roman" w:eastAsia="方正黑体_GBK" w:cs="方正黑体_GBK"/>
          <w:sz w:val="32"/>
          <w:szCs w:val="32"/>
        </w:rPr>
        <w:t>年1月1日起施行。</w:t>
      </w:r>
      <w:r>
        <w:rPr>
          <w:rFonts w:hint="eastAsia" w:ascii="Times New Roman" w:hAnsi="Times New Roman" w:eastAsia="方正仿宋_GBK" w:cs="方正仿宋_GBK"/>
          <w:sz w:val="32"/>
          <w:szCs w:val="32"/>
        </w:rPr>
        <w:t>《重庆市医保局重庆市人力资源社会保障局转发国家医保局国家人力资源和社会保障部关于印发〈国家基本医疗保险、工伤保险和生育保险药品目录（2020年）〉的通知》（渝医保发〔2021〕7号）2022年1月1日废止。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各区县（自治县）在组织落实过程中，遇有重大问题应及时分别向市医保局、市人力社保局报告。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附件：1．实行医保报销事前审查的谈判药品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1600" w:firstLineChars="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调出我市医保支付范围的医疗机构制剂、中药饮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500" w:right="0" w:rightChars="0" w:firstLine="1024" w:firstLineChars="32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片名单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1600" w:firstLineChars="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3．更名的中药饮片名单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重庆市医疗保障局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重庆市人力资源和社会保障局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2021年12月24日</w:t>
      </w:r>
    </w:p>
    <w:p/>
    <w:p/>
    <w:p/>
    <w:p/>
    <w:p/>
    <w:p/>
    <w:p/>
    <w:p/>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textAlignment w:val="auto"/>
        <w:rPr>
          <w:rFonts w:hint="eastAsia" w:ascii="Times New Roman" w:hAnsi="Times New Roman" w:eastAsia="方正黑体_GBK" w:cs="宋体"/>
          <w:bCs/>
          <w:color w:val="333333"/>
          <w:kern w:val="0"/>
          <w:sz w:val="32"/>
          <w:szCs w:val="32"/>
          <w:lang w:val="en-US" w:eastAsia="zh-CN" w:bidi="ar-SA"/>
        </w:rPr>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textAlignment w:val="auto"/>
        <w:rPr>
          <w:rFonts w:hint="eastAsia" w:ascii="Times New Roman" w:hAnsi="Times New Roman" w:eastAsia="方正仿宋_GBK"/>
          <w:color w:val="333333"/>
          <w:sz w:val="32"/>
          <w:szCs w:val="32"/>
        </w:rPr>
      </w:pPr>
      <w:r>
        <w:rPr>
          <w:rFonts w:hint="eastAsia" w:ascii="Times New Roman" w:hAnsi="Times New Roman" w:eastAsia="方正黑体_GBK" w:cs="宋体"/>
          <w:bCs/>
          <w:color w:val="333333"/>
          <w:kern w:val="0"/>
          <w:sz w:val="32"/>
          <w:szCs w:val="32"/>
          <w:lang w:val="en-US" w:eastAsia="zh-CN" w:bidi="ar-SA"/>
        </w:rPr>
        <w:t>附件1</w:t>
      </w:r>
    </w:p>
    <w:p>
      <w:pPr>
        <w:pStyle w:val="5"/>
        <w:shd w:val="clear" w:color="auto" w:fill="FFFFFF"/>
        <w:snapToGrid w:val="0"/>
        <w:spacing w:line="600" w:lineRule="exact"/>
        <w:ind w:firstLine="193" w:firstLineChars="44"/>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实行医保报销事前审查的谈判药品</w:t>
      </w:r>
    </w:p>
    <w:tbl>
      <w:tblPr>
        <w:tblStyle w:val="6"/>
        <w:tblW w:w="5068" w:type="pct"/>
        <w:jc w:val="center"/>
        <w:tblLayout w:type="autofit"/>
        <w:tblCellMar>
          <w:top w:w="0" w:type="dxa"/>
          <w:left w:w="108" w:type="dxa"/>
          <w:bottom w:w="0" w:type="dxa"/>
          <w:right w:w="108" w:type="dxa"/>
        </w:tblCellMar>
      </w:tblPr>
      <w:tblGrid>
        <w:gridCol w:w="656"/>
        <w:gridCol w:w="1163"/>
        <w:gridCol w:w="5709"/>
        <w:gridCol w:w="1656"/>
      </w:tblGrid>
      <w:tr>
        <w:trPr>
          <w:trHeight w:val="312" w:hRule="atLeast"/>
          <w:jc w:val="center"/>
        </w:trPr>
        <w:tc>
          <w:tcPr>
            <w:tcW w:w="35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黑体_GBK" w:cs="宋体"/>
                <w:color w:val="000000"/>
                <w:kern w:val="0"/>
                <w:sz w:val="22"/>
                <w:szCs w:val="22"/>
              </w:rPr>
            </w:pPr>
            <w:r>
              <w:rPr>
                <w:rFonts w:hint="eastAsia" w:ascii="Times New Roman" w:hAnsi="Times New Roman" w:eastAsia="方正黑体_GBK" w:cs="宋体"/>
                <w:color w:val="000000"/>
                <w:kern w:val="0"/>
                <w:sz w:val="22"/>
                <w:szCs w:val="22"/>
              </w:rPr>
              <w:t>序号</w:t>
            </w:r>
          </w:p>
        </w:tc>
        <w:tc>
          <w:tcPr>
            <w:tcW w:w="63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rPr>
              <w:t>药品</w:t>
            </w:r>
          </w:p>
          <w:p>
            <w:pPr>
              <w:widowControl/>
              <w:jc w:val="center"/>
              <w:rPr>
                <w:rFonts w:ascii="Times New Roman" w:hAnsi="Times New Roman" w:eastAsia="方正黑体_GBK" w:cs="宋体"/>
                <w:kern w:val="0"/>
                <w:sz w:val="20"/>
              </w:rPr>
            </w:pPr>
            <w:r>
              <w:rPr>
                <w:rFonts w:hint="eastAsia" w:ascii="Times New Roman" w:hAnsi="Times New Roman" w:eastAsia="方正黑体_GBK" w:cs="宋体"/>
                <w:kern w:val="0"/>
                <w:sz w:val="20"/>
              </w:rPr>
              <w:t>名称</w:t>
            </w:r>
          </w:p>
        </w:tc>
        <w:tc>
          <w:tcPr>
            <w:tcW w:w="310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黑体_GBK" w:cs="宋体"/>
                <w:kern w:val="0"/>
                <w:sz w:val="20"/>
              </w:rPr>
            </w:pPr>
            <w:r>
              <w:rPr>
                <w:rFonts w:hint="eastAsia" w:ascii="Times New Roman" w:hAnsi="Times New Roman" w:eastAsia="方正黑体_GBK" w:cs="宋体"/>
                <w:kern w:val="0"/>
                <w:sz w:val="20"/>
              </w:rPr>
              <w:t>备注</w:t>
            </w:r>
          </w:p>
        </w:tc>
        <w:tc>
          <w:tcPr>
            <w:tcW w:w="90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rPr>
              <w:t>协议</w:t>
            </w:r>
          </w:p>
          <w:p>
            <w:pPr>
              <w:widowControl/>
              <w:jc w:val="center"/>
              <w:rPr>
                <w:rFonts w:ascii="Times New Roman" w:hAnsi="Times New Roman" w:eastAsia="方正黑体_GBK" w:cs="宋体"/>
                <w:kern w:val="0"/>
                <w:sz w:val="20"/>
              </w:rPr>
            </w:pPr>
            <w:r>
              <w:rPr>
                <w:rFonts w:hint="eastAsia" w:ascii="Times New Roman" w:hAnsi="Times New Roman" w:eastAsia="方正黑体_GBK" w:cs="宋体"/>
                <w:kern w:val="0"/>
                <w:sz w:val="20"/>
              </w:rPr>
              <w:t>有效期</w:t>
            </w:r>
          </w:p>
        </w:tc>
      </w:tr>
      <w:tr>
        <w:tblPrEx>
          <w:tblCellMar>
            <w:top w:w="0" w:type="dxa"/>
            <w:left w:w="108" w:type="dxa"/>
            <w:bottom w:w="0" w:type="dxa"/>
            <w:right w:w="108" w:type="dxa"/>
          </w:tblCellMar>
        </w:tblPrEx>
        <w:trPr>
          <w:trHeight w:val="312" w:hRule="atLeast"/>
          <w:jc w:val="center"/>
        </w:trPr>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宋体"/>
                <w:color w:val="000000"/>
                <w:kern w:val="0"/>
                <w:sz w:val="22"/>
                <w:szCs w:val="22"/>
              </w:rPr>
            </w:pPr>
          </w:p>
        </w:tc>
        <w:tc>
          <w:tcPr>
            <w:tcW w:w="6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宋体"/>
                <w:kern w:val="0"/>
                <w:sz w:val="20"/>
              </w:rPr>
            </w:pPr>
          </w:p>
        </w:tc>
        <w:tc>
          <w:tcPr>
            <w:tcW w:w="31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宋体"/>
                <w:kern w:val="0"/>
                <w:sz w:val="20"/>
              </w:rPr>
            </w:pPr>
          </w:p>
        </w:tc>
        <w:tc>
          <w:tcPr>
            <w:tcW w:w="90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宋体"/>
                <w:kern w:val="0"/>
                <w:sz w:val="20"/>
              </w:rPr>
            </w:pPr>
          </w:p>
        </w:tc>
      </w:tr>
      <w:tr>
        <w:tblPrEx>
          <w:tblCellMar>
            <w:top w:w="0" w:type="dxa"/>
            <w:left w:w="108" w:type="dxa"/>
            <w:bottom w:w="0" w:type="dxa"/>
            <w:right w:w="108" w:type="dxa"/>
          </w:tblCellMar>
        </w:tblPrEx>
        <w:trPr>
          <w:trHeight w:val="1425" w:hRule="atLeast"/>
          <w:jc w:val="center"/>
        </w:trPr>
        <w:tc>
          <w:tcPr>
            <w:tcW w:w="357"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color w:val="000000"/>
                <w:kern w:val="0"/>
                <w:sz w:val="22"/>
                <w:szCs w:val="22"/>
              </w:rPr>
            </w:pPr>
            <w:r>
              <w:rPr>
                <w:rFonts w:hint="eastAsia" w:ascii="Times New Roman" w:hAnsi="Times New Roman" w:eastAsia="宋体" w:cs="宋体"/>
                <w:color w:val="000000"/>
                <w:kern w:val="0"/>
                <w:sz w:val="22"/>
                <w:szCs w:val="22"/>
              </w:rPr>
              <w:t>1</w:t>
            </w:r>
          </w:p>
        </w:tc>
        <w:tc>
          <w:tcPr>
            <w:tcW w:w="633" w:type="pct"/>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地塞米松玻璃体内植入剂</w:t>
            </w:r>
          </w:p>
        </w:tc>
        <w:tc>
          <w:tcPr>
            <w:tcW w:w="3107" w:type="pct"/>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限视网膜静脉阻塞（RVO）的黄斑水肿患者，并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5支，每个年度最多支付2支。</w:t>
            </w:r>
          </w:p>
        </w:tc>
        <w:tc>
          <w:tcPr>
            <w:tcW w:w="901" w:type="pct"/>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20</w:t>
            </w:r>
            <w:r>
              <w:rPr>
                <w:rFonts w:hint="eastAsia" w:ascii="Times New Roman" w:hAnsi="Times New Roman" w:eastAsia="宋体" w:cs="宋体"/>
                <w:color w:val="000000"/>
                <w:kern w:val="0"/>
                <w:sz w:val="20"/>
                <w:lang w:val="en-US" w:eastAsia="zh-CN"/>
              </w:rPr>
              <w:t>22</w:t>
            </w:r>
            <w:r>
              <w:rPr>
                <w:rFonts w:hint="eastAsia" w:ascii="Times New Roman" w:hAnsi="Times New Roman" w:eastAsia="宋体" w:cs="宋体"/>
                <w:color w:val="000000"/>
                <w:kern w:val="0"/>
                <w:sz w:val="20"/>
              </w:rPr>
              <w:t>年1月1日至202</w:t>
            </w:r>
            <w:r>
              <w:rPr>
                <w:rFonts w:hint="eastAsia" w:ascii="Times New Roman" w:hAnsi="Times New Roman" w:cs="宋体"/>
                <w:color w:val="000000"/>
                <w:kern w:val="0"/>
                <w:sz w:val="20"/>
                <w:lang w:val="en-US" w:eastAsia="zh-CN"/>
              </w:rPr>
              <w:t>3</w:t>
            </w:r>
            <w:r>
              <w:rPr>
                <w:rFonts w:hint="eastAsia" w:ascii="Times New Roman" w:hAnsi="Times New Roman" w:eastAsia="宋体" w:cs="宋体"/>
                <w:color w:val="000000"/>
                <w:kern w:val="0"/>
                <w:sz w:val="20"/>
              </w:rPr>
              <w:t>年12月31日</w:t>
            </w:r>
          </w:p>
        </w:tc>
      </w:tr>
      <w:tr>
        <w:tblPrEx>
          <w:tblCellMar>
            <w:top w:w="0" w:type="dxa"/>
            <w:left w:w="108" w:type="dxa"/>
            <w:bottom w:w="0" w:type="dxa"/>
            <w:right w:w="108" w:type="dxa"/>
          </w:tblCellMar>
        </w:tblPrEx>
        <w:trPr>
          <w:trHeight w:val="2520" w:hRule="atLeast"/>
          <w:jc w:val="center"/>
        </w:trPr>
        <w:tc>
          <w:tcPr>
            <w:tcW w:w="357"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color w:val="000000"/>
                <w:kern w:val="0"/>
                <w:sz w:val="22"/>
                <w:szCs w:val="22"/>
              </w:rPr>
            </w:pPr>
            <w:r>
              <w:rPr>
                <w:rFonts w:hint="eastAsia" w:ascii="Times New Roman" w:hAnsi="Times New Roman" w:eastAsia="宋体" w:cs="宋体"/>
                <w:color w:val="000000"/>
                <w:kern w:val="0"/>
                <w:sz w:val="22"/>
                <w:szCs w:val="22"/>
              </w:rPr>
              <w:t>2</w:t>
            </w:r>
          </w:p>
        </w:tc>
        <w:tc>
          <w:tcPr>
            <w:tcW w:w="633" w:type="pct"/>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 xml:space="preserve">康柏西普眼用注射液 </w:t>
            </w:r>
          </w:p>
        </w:tc>
        <w:tc>
          <w:tcPr>
            <w:tcW w:w="3107" w:type="pct"/>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901" w:type="pct"/>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20</w:t>
            </w:r>
            <w:r>
              <w:rPr>
                <w:rFonts w:hint="eastAsia" w:ascii="Times New Roman" w:hAnsi="Times New Roman" w:eastAsia="宋体" w:cs="宋体"/>
                <w:color w:val="000000"/>
                <w:kern w:val="0"/>
                <w:sz w:val="20"/>
                <w:lang w:val="en-US" w:eastAsia="zh-CN"/>
              </w:rPr>
              <w:t>22</w:t>
            </w:r>
            <w:r>
              <w:rPr>
                <w:rFonts w:hint="eastAsia" w:ascii="Times New Roman" w:hAnsi="Times New Roman" w:eastAsia="宋体" w:cs="宋体"/>
                <w:color w:val="000000"/>
                <w:kern w:val="0"/>
                <w:sz w:val="20"/>
              </w:rPr>
              <w:t>年1月1日至202</w:t>
            </w:r>
            <w:r>
              <w:rPr>
                <w:rFonts w:hint="eastAsia" w:ascii="Times New Roman" w:hAnsi="Times New Roman" w:cs="宋体"/>
                <w:color w:val="000000"/>
                <w:kern w:val="0"/>
                <w:sz w:val="20"/>
                <w:lang w:val="en-US" w:eastAsia="zh-CN"/>
              </w:rPr>
              <w:t>3</w:t>
            </w:r>
            <w:r>
              <w:rPr>
                <w:rFonts w:hint="eastAsia" w:ascii="Times New Roman" w:hAnsi="Times New Roman" w:eastAsia="宋体" w:cs="宋体"/>
                <w:color w:val="000000"/>
                <w:kern w:val="0"/>
                <w:sz w:val="20"/>
              </w:rPr>
              <w:t>年12月31日</w:t>
            </w:r>
          </w:p>
        </w:tc>
      </w:tr>
      <w:tr>
        <w:tblPrEx>
          <w:tblCellMar>
            <w:top w:w="0" w:type="dxa"/>
            <w:left w:w="108" w:type="dxa"/>
            <w:bottom w:w="0" w:type="dxa"/>
            <w:right w:w="108" w:type="dxa"/>
          </w:tblCellMar>
        </w:tblPrEx>
        <w:trPr>
          <w:trHeight w:val="2957" w:hRule="atLeast"/>
          <w:jc w:val="center"/>
        </w:trPr>
        <w:tc>
          <w:tcPr>
            <w:tcW w:w="35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color w:val="000000"/>
                <w:kern w:val="0"/>
                <w:sz w:val="22"/>
                <w:szCs w:val="22"/>
              </w:rPr>
            </w:pPr>
            <w:r>
              <w:rPr>
                <w:rFonts w:hint="eastAsia" w:ascii="Times New Roman" w:hAnsi="Times New Roman" w:eastAsia="宋体" w:cs="宋体"/>
                <w:color w:val="000000"/>
                <w:kern w:val="0"/>
                <w:sz w:val="22"/>
                <w:szCs w:val="22"/>
              </w:rPr>
              <w:t>3</w:t>
            </w:r>
          </w:p>
        </w:tc>
        <w:tc>
          <w:tcPr>
            <w:tcW w:w="633" w:type="pc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阿柏西普眼内注射溶液</w:t>
            </w:r>
          </w:p>
        </w:tc>
        <w:tc>
          <w:tcPr>
            <w:tcW w:w="3107" w:type="pc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限以下疾病：1.50岁以上的湿性年龄相关性黄斑变性（AMD）；2.糖尿病性黄斑水肿（DME）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901" w:type="pc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20</w:t>
            </w:r>
            <w:r>
              <w:rPr>
                <w:rFonts w:hint="eastAsia" w:ascii="Times New Roman" w:hAnsi="Times New Roman" w:eastAsia="宋体" w:cs="宋体"/>
                <w:color w:val="000000"/>
                <w:kern w:val="0"/>
                <w:sz w:val="20"/>
                <w:lang w:val="en-US" w:eastAsia="zh-CN"/>
              </w:rPr>
              <w:t>22</w:t>
            </w:r>
            <w:r>
              <w:rPr>
                <w:rFonts w:hint="eastAsia" w:ascii="Times New Roman" w:hAnsi="Times New Roman" w:eastAsia="宋体" w:cs="宋体"/>
                <w:color w:val="000000"/>
                <w:kern w:val="0"/>
                <w:sz w:val="20"/>
              </w:rPr>
              <w:t>年1月1日至202</w:t>
            </w:r>
            <w:r>
              <w:rPr>
                <w:rFonts w:hint="eastAsia" w:ascii="Times New Roman" w:hAnsi="Times New Roman" w:cs="宋体"/>
                <w:color w:val="000000"/>
                <w:kern w:val="0"/>
                <w:sz w:val="20"/>
                <w:lang w:val="en-US" w:eastAsia="zh-CN"/>
              </w:rPr>
              <w:t>3</w:t>
            </w:r>
            <w:r>
              <w:rPr>
                <w:rFonts w:hint="eastAsia" w:ascii="Times New Roman" w:hAnsi="Times New Roman" w:eastAsia="宋体" w:cs="宋体"/>
                <w:color w:val="000000"/>
                <w:kern w:val="0"/>
                <w:sz w:val="20"/>
              </w:rPr>
              <w:t>年12月31日</w:t>
            </w:r>
          </w:p>
        </w:tc>
      </w:tr>
      <w:tr>
        <w:tblPrEx>
          <w:tblCellMar>
            <w:top w:w="0" w:type="dxa"/>
            <w:left w:w="108" w:type="dxa"/>
            <w:bottom w:w="0" w:type="dxa"/>
            <w:right w:w="108" w:type="dxa"/>
          </w:tblCellMar>
        </w:tblPrEx>
        <w:trPr>
          <w:trHeight w:val="2790" w:hRule="atLeast"/>
          <w:jc w:val="center"/>
        </w:trPr>
        <w:tc>
          <w:tcPr>
            <w:tcW w:w="35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cs="宋体"/>
                <w:color w:val="000000"/>
                <w:kern w:val="0"/>
                <w:sz w:val="22"/>
                <w:szCs w:val="22"/>
              </w:rPr>
            </w:pPr>
            <w:r>
              <w:rPr>
                <w:rFonts w:hint="eastAsia" w:ascii="Times New Roman" w:hAnsi="Times New Roman" w:eastAsia="宋体" w:cs="宋体"/>
                <w:color w:val="000000"/>
                <w:kern w:val="0"/>
                <w:sz w:val="22"/>
                <w:szCs w:val="22"/>
              </w:rPr>
              <w:t>4</w:t>
            </w:r>
          </w:p>
        </w:tc>
        <w:tc>
          <w:tcPr>
            <w:tcW w:w="633" w:type="pc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雷珠单抗注射液</w:t>
            </w:r>
          </w:p>
        </w:tc>
        <w:tc>
          <w:tcPr>
            <w:tcW w:w="3107" w:type="pc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限以下疾病：1.50岁以上的湿性年龄相关性黄斑变性（AMD）；2.糖尿病性黄斑水肿（DME）引起的视力损害；3.脉络膜新生血管（CNV）导致的视力损害；4.继发于视网膜静脉阻塞（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901" w:type="pc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宋体"/>
                <w:color w:val="000000"/>
                <w:kern w:val="0"/>
                <w:sz w:val="20"/>
              </w:rPr>
            </w:pPr>
            <w:r>
              <w:rPr>
                <w:rFonts w:hint="eastAsia" w:ascii="Times New Roman" w:hAnsi="Times New Roman" w:eastAsia="宋体" w:cs="宋体"/>
                <w:color w:val="000000"/>
                <w:kern w:val="0"/>
                <w:sz w:val="20"/>
              </w:rPr>
              <w:t>20</w:t>
            </w:r>
            <w:r>
              <w:rPr>
                <w:rFonts w:hint="eastAsia" w:ascii="Times New Roman" w:hAnsi="Times New Roman" w:eastAsia="宋体" w:cs="宋体"/>
                <w:color w:val="000000"/>
                <w:kern w:val="0"/>
                <w:sz w:val="20"/>
                <w:lang w:val="en-US" w:eastAsia="zh-CN"/>
              </w:rPr>
              <w:t>22</w:t>
            </w:r>
            <w:r>
              <w:rPr>
                <w:rFonts w:hint="eastAsia" w:ascii="Times New Roman" w:hAnsi="Times New Roman" w:eastAsia="宋体" w:cs="宋体"/>
                <w:color w:val="000000"/>
                <w:kern w:val="0"/>
                <w:sz w:val="20"/>
              </w:rPr>
              <w:t>年1月1日至202</w:t>
            </w:r>
            <w:r>
              <w:rPr>
                <w:rFonts w:hint="eastAsia" w:ascii="Times New Roman" w:hAnsi="Times New Roman" w:cs="宋体"/>
                <w:color w:val="000000"/>
                <w:kern w:val="0"/>
                <w:sz w:val="20"/>
                <w:lang w:val="en-US" w:eastAsia="zh-CN"/>
              </w:rPr>
              <w:t>3</w:t>
            </w:r>
            <w:r>
              <w:rPr>
                <w:rFonts w:hint="eastAsia" w:ascii="Times New Roman" w:hAnsi="Times New Roman" w:eastAsia="宋体" w:cs="宋体"/>
                <w:color w:val="000000"/>
                <w:kern w:val="0"/>
                <w:sz w:val="20"/>
              </w:rPr>
              <w:t>年12月31日</w:t>
            </w:r>
          </w:p>
        </w:tc>
      </w:tr>
    </w:tbl>
    <w:p>
      <w:pPr>
        <w:rPr>
          <w:rFonts w:hint="eastAsia" w:ascii="Times New Roman" w:hAnsi="Times New Roman"/>
        </w:rPr>
        <w:sectPr>
          <w:footerReference r:id="rId5"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textAlignment w:val="auto"/>
        <w:rPr>
          <w:rFonts w:hint="eastAsia" w:ascii="Times New Roman" w:hAnsi="Times New Roman" w:eastAsia="方正黑体_GBK" w:cs="宋体"/>
          <w:bCs/>
          <w:color w:val="333333"/>
          <w:kern w:val="0"/>
          <w:sz w:val="32"/>
          <w:szCs w:val="32"/>
          <w:lang w:val="en-US" w:eastAsia="zh-CN" w:bidi="ar-SA"/>
        </w:rPr>
      </w:pPr>
      <w:r>
        <w:rPr>
          <w:rFonts w:hint="eastAsia" w:ascii="Times New Roman" w:hAnsi="Times New Roman" w:eastAsia="方正黑体_GBK" w:cs="宋体"/>
          <w:bCs/>
          <w:color w:val="333333"/>
          <w:kern w:val="0"/>
          <w:sz w:val="32"/>
          <w:szCs w:val="32"/>
          <w:lang w:val="en-US" w:eastAsia="zh-CN" w:bidi="ar-SA"/>
        </w:rPr>
        <w:t>附件2</w:t>
      </w:r>
    </w:p>
    <w:tbl>
      <w:tblPr>
        <w:tblStyle w:val="6"/>
        <w:tblW w:w="13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960"/>
        <w:gridCol w:w="2040"/>
        <w:gridCol w:w="2196"/>
        <w:gridCol w:w="960"/>
        <w:gridCol w:w="1162"/>
        <w:gridCol w:w="1251"/>
        <w:gridCol w:w="960"/>
        <w:gridCol w:w="2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3417" w:type="dxa"/>
            <w:gridSpan w:val="9"/>
            <w:tcBorders>
              <w:top w:val="nil"/>
              <w:left w:val="nil"/>
              <w:bottom w:val="nil"/>
              <w:right w:val="nil"/>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Times New Roman" w:hAnsi="Times New Roman" w:eastAsia="方正小标宋_GBK" w:cs="方正小标宋_GBK"/>
                <w:i w:val="0"/>
                <w:color w:val="000000"/>
                <w:sz w:val="44"/>
                <w:szCs w:val="44"/>
                <w:u w:val="none"/>
              </w:rPr>
            </w:pPr>
            <w:r>
              <w:rPr>
                <w:rFonts w:hint="eastAsia" w:ascii="Times New Roman" w:hAnsi="Times New Roman" w:eastAsia="方正小标宋_GBK" w:cs="方正小标宋_GBK"/>
                <w:i w:val="0"/>
                <w:color w:val="000000"/>
                <w:kern w:val="0"/>
                <w:sz w:val="44"/>
                <w:szCs w:val="44"/>
                <w:u w:val="none"/>
                <w:lang w:val="en-US" w:eastAsia="zh-CN" w:bidi="ar"/>
              </w:rPr>
              <w:t>调出医保支付范围的医疗机构制剂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960" w:type="dxa"/>
            <w:tcBorders>
              <w:top w:val="nil"/>
              <w:left w:val="nil"/>
              <w:bottom w:val="nil"/>
              <w:right w:val="nil"/>
            </w:tcBorders>
            <w:noWrap/>
            <w:tcMar>
              <w:top w:w="12" w:type="dxa"/>
              <w:left w:w="12" w:type="dxa"/>
              <w:right w:w="12" w:type="dxa"/>
            </w:tcMar>
            <w:vAlign w:val="center"/>
          </w:tcPr>
          <w:p>
            <w:pPr>
              <w:rPr>
                <w:rFonts w:hint="eastAsia" w:ascii="Times New Roman" w:hAnsi="Times New Roman" w:eastAsia="宋体" w:cs="宋体"/>
                <w:i w:val="0"/>
                <w:color w:val="000000"/>
                <w:sz w:val="22"/>
                <w:szCs w:val="22"/>
                <w:u w:val="none"/>
              </w:rPr>
            </w:pPr>
          </w:p>
        </w:tc>
        <w:tc>
          <w:tcPr>
            <w:tcW w:w="960" w:type="dxa"/>
            <w:tcBorders>
              <w:top w:val="nil"/>
              <w:left w:val="nil"/>
              <w:bottom w:val="nil"/>
              <w:right w:val="nil"/>
            </w:tcBorders>
            <w:noWrap/>
            <w:tcMar>
              <w:top w:w="12" w:type="dxa"/>
              <w:left w:w="12" w:type="dxa"/>
              <w:right w:w="12" w:type="dxa"/>
            </w:tcMar>
            <w:vAlign w:val="center"/>
          </w:tcPr>
          <w:p>
            <w:pPr>
              <w:rPr>
                <w:rFonts w:hint="eastAsia" w:ascii="Times New Roman" w:hAnsi="Times New Roman" w:eastAsia="宋体" w:cs="宋体"/>
                <w:i w:val="0"/>
                <w:color w:val="000000"/>
                <w:sz w:val="22"/>
                <w:szCs w:val="22"/>
                <w:u w:val="none"/>
              </w:rPr>
            </w:pPr>
          </w:p>
        </w:tc>
        <w:tc>
          <w:tcPr>
            <w:tcW w:w="2040" w:type="dxa"/>
            <w:tcBorders>
              <w:top w:val="nil"/>
              <w:left w:val="nil"/>
              <w:bottom w:val="nil"/>
              <w:right w:val="nil"/>
            </w:tcBorders>
            <w:noWrap/>
            <w:tcMar>
              <w:top w:w="12" w:type="dxa"/>
              <w:left w:w="12" w:type="dxa"/>
              <w:right w:w="12" w:type="dxa"/>
            </w:tcMar>
            <w:vAlign w:val="center"/>
          </w:tcPr>
          <w:p>
            <w:pPr>
              <w:rPr>
                <w:rFonts w:hint="eastAsia" w:ascii="Times New Roman" w:hAnsi="Times New Roman" w:eastAsia="宋体" w:cs="宋体"/>
                <w:i w:val="0"/>
                <w:color w:val="000000"/>
                <w:sz w:val="22"/>
                <w:szCs w:val="22"/>
                <w:u w:val="none"/>
              </w:rPr>
            </w:pPr>
          </w:p>
        </w:tc>
        <w:tc>
          <w:tcPr>
            <w:tcW w:w="2196" w:type="dxa"/>
            <w:tcBorders>
              <w:top w:val="nil"/>
              <w:left w:val="nil"/>
              <w:bottom w:val="nil"/>
              <w:right w:val="nil"/>
            </w:tcBorders>
            <w:noWrap/>
            <w:tcMar>
              <w:top w:w="12" w:type="dxa"/>
              <w:left w:w="12" w:type="dxa"/>
              <w:right w:w="12" w:type="dxa"/>
            </w:tcMar>
            <w:vAlign w:val="center"/>
          </w:tcPr>
          <w:p>
            <w:pPr>
              <w:rPr>
                <w:rFonts w:hint="eastAsia" w:ascii="Times New Roman" w:hAnsi="Times New Roman" w:eastAsia="宋体" w:cs="宋体"/>
                <w:i w:val="0"/>
                <w:color w:val="000000"/>
                <w:sz w:val="22"/>
                <w:szCs w:val="22"/>
                <w:u w:val="none"/>
              </w:rPr>
            </w:pPr>
          </w:p>
        </w:tc>
        <w:tc>
          <w:tcPr>
            <w:tcW w:w="960" w:type="dxa"/>
            <w:tcBorders>
              <w:top w:val="nil"/>
              <w:left w:val="nil"/>
              <w:bottom w:val="nil"/>
              <w:right w:val="nil"/>
            </w:tcBorders>
            <w:noWrap/>
            <w:tcMar>
              <w:top w:w="12" w:type="dxa"/>
              <w:left w:w="12" w:type="dxa"/>
              <w:right w:w="12" w:type="dxa"/>
            </w:tcMar>
            <w:vAlign w:val="center"/>
          </w:tcPr>
          <w:p>
            <w:pPr>
              <w:rPr>
                <w:rFonts w:hint="eastAsia" w:ascii="Times New Roman" w:hAnsi="Times New Roman" w:eastAsia="宋体" w:cs="宋体"/>
                <w:i w:val="0"/>
                <w:color w:val="000000"/>
                <w:sz w:val="22"/>
                <w:szCs w:val="22"/>
                <w:u w:val="none"/>
              </w:rPr>
            </w:pPr>
          </w:p>
        </w:tc>
        <w:tc>
          <w:tcPr>
            <w:tcW w:w="1162" w:type="dxa"/>
            <w:tcBorders>
              <w:top w:val="nil"/>
              <w:left w:val="nil"/>
              <w:bottom w:val="nil"/>
              <w:right w:val="nil"/>
            </w:tcBorders>
            <w:noWrap/>
            <w:tcMar>
              <w:top w:w="12" w:type="dxa"/>
              <w:left w:w="12" w:type="dxa"/>
              <w:right w:w="12" w:type="dxa"/>
            </w:tcMar>
            <w:vAlign w:val="center"/>
          </w:tcPr>
          <w:p>
            <w:pPr>
              <w:rPr>
                <w:rFonts w:hint="eastAsia" w:ascii="Times New Roman" w:hAnsi="Times New Roman" w:eastAsia="宋体" w:cs="宋体"/>
                <w:i w:val="0"/>
                <w:color w:val="000000"/>
                <w:sz w:val="22"/>
                <w:szCs w:val="22"/>
                <w:u w:val="none"/>
              </w:rPr>
            </w:pPr>
          </w:p>
        </w:tc>
        <w:tc>
          <w:tcPr>
            <w:tcW w:w="1251" w:type="dxa"/>
            <w:tcBorders>
              <w:top w:val="nil"/>
              <w:left w:val="nil"/>
              <w:bottom w:val="nil"/>
              <w:right w:val="nil"/>
            </w:tcBorders>
            <w:noWrap/>
            <w:tcMar>
              <w:top w:w="12" w:type="dxa"/>
              <w:left w:w="12" w:type="dxa"/>
              <w:right w:w="12" w:type="dxa"/>
            </w:tcMar>
            <w:vAlign w:val="center"/>
          </w:tcPr>
          <w:p>
            <w:pPr>
              <w:rPr>
                <w:rFonts w:hint="eastAsia" w:ascii="Times New Roman" w:hAnsi="Times New Roman" w:eastAsia="宋体" w:cs="宋体"/>
                <w:i w:val="0"/>
                <w:color w:val="000000"/>
                <w:sz w:val="22"/>
                <w:szCs w:val="22"/>
                <w:u w:val="none"/>
              </w:rPr>
            </w:pPr>
          </w:p>
        </w:tc>
        <w:tc>
          <w:tcPr>
            <w:tcW w:w="960" w:type="dxa"/>
            <w:tcBorders>
              <w:top w:val="nil"/>
              <w:left w:val="nil"/>
              <w:bottom w:val="nil"/>
              <w:right w:val="nil"/>
            </w:tcBorders>
            <w:noWrap/>
            <w:tcMar>
              <w:top w:w="12" w:type="dxa"/>
              <w:left w:w="12" w:type="dxa"/>
              <w:right w:w="12" w:type="dxa"/>
            </w:tcMar>
            <w:vAlign w:val="center"/>
          </w:tcPr>
          <w:p>
            <w:pPr>
              <w:rPr>
                <w:rFonts w:hint="eastAsia" w:ascii="Times New Roman" w:hAnsi="Times New Roman" w:eastAsia="宋体" w:cs="宋体"/>
                <w:i w:val="0"/>
                <w:color w:val="000000"/>
                <w:sz w:val="22"/>
                <w:szCs w:val="22"/>
                <w:u w:val="none"/>
              </w:rPr>
            </w:pPr>
          </w:p>
        </w:tc>
        <w:tc>
          <w:tcPr>
            <w:tcW w:w="2928" w:type="dxa"/>
            <w:tcBorders>
              <w:top w:val="nil"/>
              <w:left w:val="nil"/>
              <w:bottom w:val="nil"/>
              <w:right w:val="nil"/>
            </w:tcBorders>
            <w:noWrap/>
            <w:tcMar>
              <w:top w:w="12" w:type="dxa"/>
              <w:left w:w="12" w:type="dxa"/>
              <w:right w:w="12" w:type="dxa"/>
            </w:tcMar>
            <w:vAlign w:val="center"/>
          </w:tcPr>
          <w:p>
            <w:pPr>
              <w:rPr>
                <w:rFonts w:hint="eastAsia" w:ascii="Times New Roman" w:hAnsi="Times New Roman"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序号</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区县</w:t>
            </w:r>
          </w:p>
        </w:tc>
        <w:tc>
          <w:tcPr>
            <w:tcW w:w="20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医疗机构</w:t>
            </w:r>
            <w:r>
              <w:rPr>
                <w:rFonts w:hint="eastAsia" w:ascii="Times New Roman" w:hAnsi="Times New Roman" w:eastAsia="方正黑体_GBK" w:cs="宋体"/>
                <w:kern w:val="0"/>
                <w:sz w:val="20"/>
                <w:lang w:val="en-US" w:eastAsia="zh-CN"/>
              </w:rPr>
              <w:br w:type="textWrapping"/>
            </w:r>
            <w:r>
              <w:rPr>
                <w:rFonts w:hint="eastAsia" w:ascii="Times New Roman" w:hAnsi="Times New Roman" w:eastAsia="方正黑体_GBK" w:cs="宋体"/>
                <w:kern w:val="0"/>
                <w:sz w:val="20"/>
                <w:lang w:val="en-US" w:eastAsia="zh-CN"/>
              </w:rPr>
              <w:t>名称</w:t>
            </w:r>
          </w:p>
        </w:tc>
        <w:tc>
          <w:tcPr>
            <w:tcW w:w="6529" w:type="dxa"/>
            <w:gridSpan w:val="5"/>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制剂基本信息</w:t>
            </w:r>
          </w:p>
        </w:tc>
        <w:tc>
          <w:tcPr>
            <w:tcW w:w="29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调出理由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6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p>
        </w:tc>
        <w:tc>
          <w:tcPr>
            <w:tcW w:w="20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p>
        </w:tc>
        <w:tc>
          <w:tcPr>
            <w:tcW w:w="21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名称</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类型</w:t>
            </w:r>
          </w:p>
        </w:tc>
        <w:tc>
          <w:tcPr>
            <w:tcW w:w="11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剂型</w:t>
            </w:r>
          </w:p>
        </w:tc>
        <w:tc>
          <w:tcPr>
            <w:tcW w:w="12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规格</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r>
              <w:rPr>
                <w:rFonts w:hint="eastAsia" w:ascii="Times New Roman" w:hAnsi="Times New Roman" w:eastAsia="方正黑体_GBK" w:cs="宋体"/>
                <w:kern w:val="0"/>
                <w:sz w:val="20"/>
                <w:lang w:val="en-US" w:eastAsia="zh-CN"/>
              </w:rPr>
              <w:t>包装</w:t>
            </w:r>
          </w:p>
        </w:tc>
        <w:tc>
          <w:tcPr>
            <w:tcW w:w="2928"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rPr>
                <w:rFonts w:hint="eastAsia" w:ascii="Times New Roman" w:hAnsi="Times New Roman" w:eastAsia="方正黑体_GBK"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南岸区</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重庆市第五人民医院</w:t>
            </w:r>
          </w:p>
        </w:tc>
        <w:tc>
          <w:tcPr>
            <w:tcW w:w="21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水杨酸醇滴耳液</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化学制剂</w:t>
            </w:r>
          </w:p>
        </w:tc>
        <w:tc>
          <w:tcPr>
            <w:tcW w:w="11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滴耳剂</w:t>
            </w:r>
          </w:p>
        </w:tc>
        <w:tc>
          <w:tcPr>
            <w:tcW w:w="12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10ml/支</w:t>
            </w:r>
          </w:p>
        </w:tc>
        <w:tc>
          <w:tcPr>
            <w:tcW w:w="29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rPr>
              <w:t>制剂批准文号已注销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南岸区</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重庆市第五人民医院</w:t>
            </w:r>
          </w:p>
        </w:tc>
        <w:tc>
          <w:tcPr>
            <w:tcW w:w="21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碳酸氢钠滴耳液</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化学制剂</w:t>
            </w:r>
          </w:p>
        </w:tc>
        <w:tc>
          <w:tcPr>
            <w:tcW w:w="11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滴耳剂</w:t>
            </w:r>
          </w:p>
        </w:tc>
        <w:tc>
          <w:tcPr>
            <w:tcW w:w="12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10ml/支</w:t>
            </w:r>
          </w:p>
        </w:tc>
        <w:tc>
          <w:tcPr>
            <w:tcW w:w="29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rPr>
              <w:t>制剂批准文号已注销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南岸区</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重庆市第五人民医院</w:t>
            </w:r>
          </w:p>
        </w:tc>
        <w:tc>
          <w:tcPr>
            <w:tcW w:w="21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氯化钾口服溶液</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化学制剂</w:t>
            </w:r>
          </w:p>
        </w:tc>
        <w:tc>
          <w:tcPr>
            <w:tcW w:w="11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口服溶液剂</w:t>
            </w:r>
          </w:p>
        </w:tc>
        <w:tc>
          <w:tcPr>
            <w:tcW w:w="12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100ml/瓶</w:t>
            </w:r>
          </w:p>
        </w:tc>
        <w:tc>
          <w:tcPr>
            <w:tcW w:w="29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rPr>
              <w:t>制剂批准文号已注销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垫江县</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垫江县中医院</w:t>
            </w:r>
          </w:p>
        </w:tc>
        <w:tc>
          <w:tcPr>
            <w:tcW w:w="21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宝儿康糖浆</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中药制剂</w:t>
            </w:r>
          </w:p>
        </w:tc>
        <w:tc>
          <w:tcPr>
            <w:tcW w:w="11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糖浆剂</w:t>
            </w:r>
          </w:p>
        </w:tc>
        <w:tc>
          <w:tcPr>
            <w:tcW w:w="12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100ml</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100ml/瓶</w:t>
            </w:r>
          </w:p>
        </w:tc>
        <w:tc>
          <w:tcPr>
            <w:tcW w:w="29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rPr>
              <w:t>制剂批准文号已注销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垫江县</w:t>
            </w:r>
          </w:p>
        </w:tc>
        <w:tc>
          <w:tcPr>
            <w:tcW w:w="20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垫江县中医院</w:t>
            </w:r>
          </w:p>
        </w:tc>
        <w:tc>
          <w:tcPr>
            <w:tcW w:w="21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女金糖浆</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中药制剂</w:t>
            </w:r>
          </w:p>
        </w:tc>
        <w:tc>
          <w:tcPr>
            <w:tcW w:w="11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糖浆剂</w:t>
            </w:r>
          </w:p>
        </w:tc>
        <w:tc>
          <w:tcPr>
            <w:tcW w:w="12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100ml</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100ml/瓶</w:t>
            </w:r>
          </w:p>
        </w:tc>
        <w:tc>
          <w:tcPr>
            <w:tcW w:w="29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rPr>
              <w:t>制剂批准文号已注销</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sz w:val="32"/>
          <w:szCs w:val="32"/>
        </w:rPr>
        <w:sectPr>
          <w:pgSz w:w="16838" w:h="11906" w:orient="landscape"/>
          <w:pgMar w:top="1383" w:right="1440" w:bottom="863" w:left="1440" w:header="851" w:footer="992" w:gutter="0"/>
          <w:pgNumType w:fmt="decimal"/>
          <w:cols w:space="720" w:num="1"/>
          <w:rtlGutter w:val="0"/>
          <w:docGrid w:type="lines" w:linePitch="314" w:charSpace="0"/>
        </w:sectPr>
      </w:pPr>
      <w:r>
        <w:rPr>
          <w:rFonts w:hint="eastAsia" w:ascii="Times New Roman" w:hAnsi="Times New Roman" w:eastAsia="方正仿宋_GBK"/>
          <w:sz w:val="32"/>
          <w:szCs w:val="32"/>
        </w:rPr>
        <w:t xml:space="preserve"> </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_GBK" w:cs="方正小标宋_GBK"/>
          <w:i w:val="0"/>
          <w:color w:val="000000"/>
          <w:kern w:val="0"/>
          <w:sz w:val="44"/>
          <w:szCs w:val="44"/>
          <w:u w:val="none"/>
          <w:lang w:val="en-US" w:eastAsia="zh-CN" w:bidi="ar"/>
        </w:rPr>
      </w:pPr>
      <w:r>
        <w:rPr>
          <w:rFonts w:hint="eastAsia" w:ascii="Times New Roman" w:hAnsi="Times New Roman" w:eastAsia="方正小标宋_GBK" w:cs="方正小标宋_GBK"/>
          <w:i w:val="0"/>
          <w:color w:val="000000"/>
          <w:kern w:val="0"/>
          <w:sz w:val="44"/>
          <w:szCs w:val="44"/>
          <w:u w:val="none"/>
          <w:lang w:val="en-US" w:eastAsia="zh-CN" w:bidi="ar"/>
        </w:rPr>
        <w:t>调出医保支付范围的中药饮片</w:t>
      </w:r>
    </w:p>
    <w:p>
      <w:pPr>
        <w:rPr>
          <w:rFonts w:ascii="Times New Roman" w:hAnsi="Times New Roman"/>
        </w:rPr>
      </w:pPr>
    </w:p>
    <w:tbl>
      <w:tblPr>
        <w:tblStyle w:val="6"/>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90"/>
        <w:gridCol w:w="2424"/>
        <w:gridCol w:w="5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kern w:val="0"/>
                <w:sz w:val="30"/>
                <w:szCs w:val="30"/>
                <w:u w:val="none"/>
                <w:lang w:val="en-US" w:eastAsia="zh-CN" w:bidi="ar"/>
              </w:rPr>
            </w:pPr>
            <w:r>
              <w:rPr>
                <w:rFonts w:hint="eastAsia" w:ascii="Times New Roman" w:hAnsi="Times New Roman" w:eastAsia="方正黑体_GBK" w:cs="方正黑体_GBK"/>
                <w:i w:val="0"/>
                <w:color w:val="000000"/>
                <w:kern w:val="0"/>
                <w:sz w:val="30"/>
                <w:szCs w:val="30"/>
                <w:u w:val="none"/>
                <w:lang w:val="en-US" w:eastAsia="zh-CN" w:bidi="ar"/>
              </w:rPr>
              <w:t>序号</w:t>
            </w:r>
          </w:p>
        </w:tc>
        <w:tc>
          <w:tcPr>
            <w:tcW w:w="1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kern w:val="0"/>
                <w:sz w:val="30"/>
                <w:szCs w:val="30"/>
                <w:u w:val="none"/>
                <w:lang w:val="en-US" w:eastAsia="zh-CN" w:bidi="ar"/>
              </w:rPr>
            </w:pPr>
            <w:r>
              <w:rPr>
                <w:rFonts w:hint="eastAsia" w:ascii="Times New Roman" w:hAnsi="Times New Roman" w:eastAsia="方正黑体_GBK" w:cs="方正黑体_GBK"/>
                <w:i w:val="0"/>
                <w:color w:val="000000"/>
                <w:kern w:val="0"/>
                <w:sz w:val="30"/>
                <w:szCs w:val="30"/>
                <w:u w:val="none"/>
                <w:lang w:val="en-US" w:eastAsia="zh-CN" w:bidi="ar"/>
              </w:rPr>
              <w:t>中药饮片名称</w:t>
            </w:r>
          </w:p>
        </w:tc>
        <w:tc>
          <w:tcPr>
            <w:tcW w:w="30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kern w:val="0"/>
                <w:sz w:val="30"/>
                <w:szCs w:val="30"/>
                <w:u w:val="none"/>
                <w:lang w:val="en-US" w:eastAsia="zh-CN" w:bidi="ar"/>
              </w:rPr>
            </w:pPr>
            <w:r>
              <w:rPr>
                <w:rFonts w:hint="eastAsia" w:ascii="Times New Roman" w:hAnsi="Times New Roman" w:eastAsia="方正黑体_GBK" w:cs="方正黑体_GBK"/>
                <w:i w:val="0"/>
                <w:color w:val="000000"/>
                <w:kern w:val="0"/>
                <w:sz w:val="30"/>
                <w:szCs w:val="30"/>
                <w:u w:val="none"/>
                <w:lang w:val="en-US" w:eastAsia="zh-CN" w:bidi="ar"/>
              </w:rPr>
              <w:t>调出理由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30"/>
                <w:szCs w:val="30"/>
                <w:u w:val="none"/>
                <w:lang w:val="en-US" w:eastAsia="zh-CN" w:bidi="ar"/>
              </w:rPr>
            </w:pPr>
            <w:r>
              <w:rPr>
                <w:rFonts w:hint="eastAsia" w:ascii="Times New Roman" w:hAnsi="Times New Roman" w:eastAsia="方正仿宋_GBK" w:cs="方正仿宋_GBK"/>
                <w:i w:val="0"/>
                <w:color w:val="000000"/>
                <w:kern w:val="0"/>
                <w:sz w:val="30"/>
                <w:szCs w:val="30"/>
                <w:u w:val="none"/>
                <w:lang w:val="en-US" w:eastAsia="zh-CN" w:bidi="ar"/>
              </w:rPr>
              <w:t>1</w:t>
            </w:r>
          </w:p>
        </w:tc>
        <w:tc>
          <w:tcPr>
            <w:tcW w:w="1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硫磺</w:t>
            </w:r>
          </w:p>
        </w:tc>
        <w:tc>
          <w:tcPr>
            <w:tcW w:w="30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需删除：与国家一样（硫黄）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30"/>
                <w:szCs w:val="30"/>
                <w:u w:val="none"/>
                <w:lang w:val="en-US" w:eastAsia="zh-CN" w:bidi="ar"/>
              </w:rPr>
            </w:pPr>
            <w:r>
              <w:rPr>
                <w:rFonts w:hint="eastAsia" w:ascii="Times New Roman" w:hAnsi="Times New Roman" w:eastAsia="方正仿宋_GBK" w:cs="方正仿宋_GBK"/>
                <w:i w:val="0"/>
                <w:color w:val="000000"/>
                <w:kern w:val="0"/>
                <w:sz w:val="30"/>
                <w:szCs w:val="30"/>
                <w:u w:val="none"/>
                <w:lang w:val="en-US" w:eastAsia="zh-CN" w:bidi="ar"/>
              </w:rPr>
              <w:t>2</w:t>
            </w:r>
          </w:p>
        </w:tc>
        <w:tc>
          <w:tcPr>
            <w:tcW w:w="1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密陀僧</w:t>
            </w:r>
          </w:p>
        </w:tc>
        <w:tc>
          <w:tcPr>
            <w:tcW w:w="30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需删除：与国家一样（密佗僧）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30"/>
                <w:szCs w:val="30"/>
                <w:u w:val="none"/>
                <w:lang w:val="en-US" w:eastAsia="zh-CN" w:bidi="ar"/>
              </w:rPr>
            </w:pPr>
            <w:r>
              <w:rPr>
                <w:rFonts w:hint="eastAsia" w:ascii="Times New Roman" w:hAnsi="Times New Roman" w:eastAsia="方正仿宋_GBK" w:cs="方正仿宋_GBK"/>
                <w:i w:val="0"/>
                <w:color w:val="000000"/>
                <w:kern w:val="0"/>
                <w:sz w:val="30"/>
                <w:szCs w:val="30"/>
                <w:u w:val="none"/>
                <w:lang w:val="en-US" w:eastAsia="zh-CN" w:bidi="ar"/>
              </w:rPr>
              <w:t>3</w:t>
            </w:r>
          </w:p>
        </w:tc>
        <w:tc>
          <w:tcPr>
            <w:tcW w:w="1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闹洋花</w:t>
            </w:r>
          </w:p>
        </w:tc>
        <w:tc>
          <w:tcPr>
            <w:tcW w:w="30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需删除：与国家一样（闹羊花）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30"/>
                <w:szCs w:val="30"/>
                <w:u w:val="none"/>
                <w:lang w:val="en-US" w:eastAsia="zh-CN" w:bidi="ar"/>
              </w:rPr>
            </w:pPr>
            <w:r>
              <w:rPr>
                <w:rFonts w:hint="eastAsia" w:ascii="Times New Roman" w:hAnsi="Times New Roman" w:eastAsia="方正仿宋_GBK" w:cs="方正仿宋_GBK"/>
                <w:i w:val="0"/>
                <w:color w:val="000000"/>
                <w:kern w:val="0"/>
                <w:sz w:val="30"/>
                <w:szCs w:val="30"/>
                <w:u w:val="none"/>
                <w:lang w:val="en-US" w:eastAsia="zh-CN" w:bidi="ar"/>
              </w:rPr>
              <w:t>4</w:t>
            </w:r>
          </w:p>
        </w:tc>
        <w:tc>
          <w:tcPr>
            <w:tcW w:w="1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通花根</w:t>
            </w:r>
          </w:p>
        </w:tc>
        <w:tc>
          <w:tcPr>
            <w:tcW w:w="30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需删除：与国家一样（通草）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30"/>
                <w:szCs w:val="30"/>
                <w:u w:val="none"/>
                <w:lang w:val="en-US" w:eastAsia="zh-CN" w:bidi="ar"/>
              </w:rPr>
            </w:pPr>
            <w:r>
              <w:rPr>
                <w:rFonts w:hint="eastAsia" w:ascii="Times New Roman" w:hAnsi="Times New Roman" w:eastAsia="方正仿宋_GBK" w:cs="方正仿宋_GBK"/>
                <w:i w:val="0"/>
                <w:color w:val="000000"/>
                <w:kern w:val="0"/>
                <w:sz w:val="30"/>
                <w:szCs w:val="30"/>
                <w:u w:val="none"/>
                <w:lang w:val="en-US" w:eastAsia="zh-CN" w:bidi="ar"/>
              </w:rPr>
              <w:t>5</w:t>
            </w:r>
          </w:p>
        </w:tc>
        <w:tc>
          <w:tcPr>
            <w:tcW w:w="1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灯盏花</w:t>
            </w:r>
          </w:p>
        </w:tc>
        <w:tc>
          <w:tcPr>
            <w:tcW w:w="30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需删除：与国家一样“灯盏细辛（灯盏花）”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30"/>
                <w:szCs w:val="30"/>
                <w:u w:val="none"/>
                <w:lang w:val="en-US" w:eastAsia="zh-CN" w:bidi="ar"/>
              </w:rPr>
            </w:pPr>
            <w:r>
              <w:rPr>
                <w:rFonts w:hint="eastAsia" w:ascii="Times New Roman" w:hAnsi="Times New Roman" w:eastAsia="方正仿宋_GBK" w:cs="方正仿宋_GBK"/>
                <w:i w:val="0"/>
                <w:color w:val="000000"/>
                <w:kern w:val="0"/>
                <w:sz w:val="30"/>
                <w:szCs w:val="30"/>
                <w:u w:val="none"/>
                <w:lang w:val="en-US" w:eastAsia="zh-CN" w:bidi="ar"/>
              </w:rPr>
              <w:t>6</w:t>
            </w:r>
          </w:p>
        </w:tc>
        <w:tc>
          <w:tcPr>
            <w:tcW w:w="1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腊梅花</w:t>
            </w:r>
          </w:p>
        </w:tc>
        <w:tc>
          <w:tcPr>
            <w:tcW w:w="30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需删除：与国家一样“蜡梅花”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6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kern w:val="0"/>
                <w:sz w:val="30"/>
                <w:szCs w:val="30"/>
                <w:u w:val="none"/>
                <w:lang w:val="en-US" w:eastAsia="zh-CN" w:bidi="ar"/>
              </w:rPr>
            </w:pPr>
            <w:r>
              <w:rPr>
                <w:rFonts w:hint="eastAsia" w:ascii="Times New Roman" w:hAnsi="Times New Roman" w:eastAsia="方正仿宋_GBK" w:cs="方正仿宋_GBK"/>
                <w:i w:val="0"/>
                <w:color w:val="000000"/>
                <w:kern w:val="0"/>
                <w:sz w:val="30"/>
                <w:szCs w:val="30"/>
                <w:u w:val="none"/>
                <w:lang w:val="en-US" w:eastAsia="zh-CN" w:bidi="ar"/>
              </w:rPr>
              <w:t>7</w:t>
            </w:r>
          </w:p>
        </w:tc>
        <w:tc>
          <w:tcPr>
            <w:tcW w:w="136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山柰</w:t>
            </w:r>
          </w:p>
        </w:tc>
        <w:tc>
          <w:tcPr>
            <w:tcW w:w="30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Times New Roman" w:hAnsi="Times New Roman" w:eastAsia="方正仿宋_GBK" w:cs="方正仿宋_GBK"/>
                <w:i w:val="0"/>
                <w:color w:val="000000"/>
                <w:sz w:val="30"/>
                <w:szCs w:val="30"/>
                <w:u w:val="none"/>
              </w:rPr>
            </w:pPr>
            <w:r>
              <w:rPr>
                <w:rFonts w:hint="eastAsia" w:ascii="Times New Roman" w:hAnsi="Times New Roman" w:eastAsia="方正仿宋_GBK" w:cs="方正仿宋_GBK"/>
                <w:i w:val="0"/>
                <w:color w:val="000000"/>
                <w:kern w:val="0"/>
                <w:sz w:val="30"/>
                <w:szCs w:val="30"/>
                <w:u w:val="none"/>
                <w:lang w:val="en-US" w:eastAsia="zh-CN" w:bidi="ar"/>
              </w:rPr>
              <w:t>需删除：与国家一样“山奈”</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sz w:val="32"/>
          <w:szCs w:val="32"/>
          <w:lang w:val="en-US" w:eastAsia="zh-CN"/>
        </w:rPr>
      </w:pPr>
      <w:r>
        <w:rPr>
          <w:rFonts w:ascii="Times New Roman" w:hAnsi="Times New Roman"/>
        </w:rPr>
        <w:br w:type="page"/>
      </w:r>
      <w:r>
        <w:rPr>
          <w:rFonts w:hint="eastAsia" w:ascii="Times New Roman" w:hAnsi="Times New Roman" w:eastAsia="方正黑体_GBK" w:cs="宋体"/>
          <w:bCs/>
          <w:color w:val="333333"/>
          <w:kern w:val="0"/>
          <w:sz w:val="32"/>
          <w:szCs w:val="32"/>
          <w:lang w:val="en-US" w:eastAsia="zh-CN" w:bidi="ar-SA"/>
        </w:rPr>
        <w:t>附件3</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_GBK" w:cs="方正小标宋_GBK"/>
          <w:i w:val="0"/>
          <w:color w:val="000000"/>
          <w:kern w:val="0"/>
          <w:sz w:val="44"/>
          <w:szCs w:val="44"/>
          <w:u w:val="none"/>
          <w:lang w:val="en-US" w:eastAsia="zh-CN" w:bidi="ar"/>
        </w:rPr>
      </w:pPr>
      <w:r>
        <w:rPr>
          <w:rFonts w:hint="eastAsia" w:ascii="Times New Roman" w:hAnsi="Times New Roman" w:eastAsia="方正小标宋_GBK" w:cs="方正小标宋_GBK"/>
          <w:i w:val="0"/>
          <w:color w:val="000000"/>
          <w:kern w:val="0"/>
          <w:sz w:val="44"/>
          <w:szCs w:val="44"/>
          <w:u w:val="none"/>
          <w:lang w:val="en-US" w:eastAsia="zh-CN" w:bidi="ar"/>
        </w:rPr>
        <w:t>更名的中药饮片名单</w:t>
      </w:r>
    </w:p>
    <w:tbl>
      <w:tblPr>
        <w:tblStyle w:val="6"/>
        <w:tblpPr w:leftFromText="180" w:rightFromText="180" w:vertAnchor="text" w:horzAnchor="page" w:tblpXSpec="center" w:tblpY="314"/>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23"/>
        <w:gridCol w:w="3065"/>
        <w:gridCol w:w="4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859"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黑体_GBK" w:cs="方正黑体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序号</w:t>
            </w:r>
          </w:p>
        </w:tc>
        <w:tc>
          <w:tcPr>
            <w:tcW w:w="172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黑体_GBK" w:cs="方正黑体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调整前中药饮片名称</w:t>
            </w:r>
          </w:p>
        </w:tc>
        <w:tc>
          <w:tcPr>
            <w:tcW w:w="241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黑体_GBK" w:cs="方正黑体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调整后中药饮片名称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1</w:t>
            </w:r>
          </w:p>
        </w:tc>
        <w:tc>
          <w:tcPr>
            <w:tcW w:w="1728"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白芨粉</w:t>
            </w:r>
          </w:p>
        </w:tc>
        <w:tc>
          <w:tcPr>
            <w:tcW w:w="2411"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白及粉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2</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毛五甲（红毛五加皮）</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红毛五加皮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3</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鼠妇</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鼠妇虫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4</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水泽兰（赶黄草）</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赶黄草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5</w:t>
            </w:r>
          </w:p>
        </w:tc>
        <w:tc>
          <w:tcPr>
            <w:tcW w:w="1728"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肾茶（猫须草、猫须公）</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肾茶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lang w:val="en-US" w:eastAsia="zh-CN"/>
              </w:rPr>
            </w:pPr>
          </w:p>
        </w:tc>
        <w:tc>
          <w:tcPr>
            <w:tcW w:w="1728"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kern w:val="0"/>
                <w:sz w:val="24"/>
                <w:szCs w:val="24"/>
                <w:u w:val="none"/>
                <w:lang w:val="en-US" w:eastAsia="zh-CN" w:bidi="ar"/>
              </w:rPr>
            </w:pP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猫须草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6</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列当（草苁蓉）</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草苁蓉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7</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相思豆</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相思子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8</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葫芦巴</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胡芦巴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9</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染茯苓</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朱砂拌茯苓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10</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黑姜</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姜炭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11</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水灯芯</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水灯心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12</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炙麻绒</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蜜炙麻黄绒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13</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小肺筋草</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粉条儿菜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14</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牛虻</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虻虫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15</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漳丹</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黄丹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16</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血通</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大血藤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17</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红梅</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梅花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18</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三七茎叶</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三七叶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19</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伊犁贝母</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伊贝母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5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20</w:t>
            </w:r>
          </w:p>
        </w:tc>
        <w:tc>
          <w:tcPr>
            <w:tcW w:w="17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鸡子黄油（蛋黄油）</w:t>
            </w:r>
          </w:p>
        </w:tc>
        <w:tc>
          <w:tcPr>
            <w:tcW w:w="241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蛋黄油</w:t>
            </w:r>
          </w:p>
        </w:tc>
      </w:tr>
    </w:tbl>
    <w:p/>
    <w:sectPr>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-365760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8pt;height:144pt;width:144pt;mso-position-horizontal:outside;mso-position-horizontal-relative:margin;mso-wrap-style:none;z-index:251662336;mso-width-relative:page;mso-height-relative:page;" filled="f" stroked="f" coordsize="21600,21600" o:gfxdata="UEsDBAoAAAAAAIdO4kAAAAAAAAAAAAAAAAAEAAAAZHJzL1BLAwQUAAAACACHTuJAvx7M/dkAAAAM&#10;AQAADwAAAGRycy9kb3ducmV2LnhtbE2PwU7DMAyG70i8Q2QkblvStdtQ13QSE+WIxMqBY9Z4baFx&#10;qiTrytuTneBo+9Pv7y/2sxnYhM73liQkSwEMqbG6p1bCR10tnoD5oEirwRJK+EEP+/L+rlC5tld6&#10;x+kYWhZDyOdKQhfCmHPumw6N8ks7IsXb2TqjQhxdy7VT1xhuBr4SYsON6il+6NSIhw6b7+PFSDhU&#10;de0m9G74xNcq/Xp7zvBllvLxIRE7YAHn8AfDTT+qQxmdTvZC2rNBwnadphGVsFhvN8BuhMiSuDpJ&#10;WKUiA14W/H+J8hdQSwMEFAAAAAgAh07iQFLilsvdAgAAJAYAAA4AAABkcnMvZTJvRG9jLnhtbK1U&#10;S27bMBDdF+gdCO4VSbbiyEbkwLGiooDRBEiLrmmKsoRSJEHSn7Totr1BV91033PlHB1Slp2kRRGg&#10;9UIecoaP894M5/xi13K0Ydo0UmQ4PokwYoLKshGrDL97WwQpRsYSURIuBcvwHTP4YvryxflWTdhA&#10;1pKXTCMAEWayVRmurVWTMDS0Zi0xJ1IxAc5K6pZYWOpVWGqyBfSWh4MoGoVbqUulJWXGwG7eOfEe&#10;UT8HUFZVQ1ku6bplwnaomnFigZKpG2Xw1GdbVYza66oyzCKeYWBq/RcuAXvpvuH0nExWmqi6ofsU&#10;yHNSeMKpJY2ASw9QObEErXXzG1TbUC2NrOwJlW3YEfGKAIs4eqLNbU0U81xAaqMOopv/B0vfbG40&#10;asoMDzESpIWC33/7ev/95/2PL2jo5NkqM4GoWwVxdncpd9A0/b6BTcd6V+nW/QMfBH4Q9+4gLttZ&#10;RN2hdJCmEbgo+PoF4IfH40ob+4rJFjkjwxqq50Ulm4WxXWgf4m4Tsmg49xXkAm0zPBqeRv7AwQPg&#10;XLhYyAIw9lZXmU/jaHyVXqVJkAxGV0ES5XkwK+ZJMCris9N8mM/nefzZ4cXJpG7Kkgl3X98lcfK8&#10;Kuw7pavvoU+M5E3p4FxKRq+Wc67RhkCXFv7nFIbkH4SFj9PwbmD1hFI8SKLLwTgoRulZkBTJaTA+&#10;i9IgiseX41GUjJO8eExp0Qj275Qeqf8gaTJxBTtwW3JCP/yVmkvnSA0U6AsXuj7s+s1ZdrfcgUTO&#10;XMryDnpTy+5xG0WLBi5dEGNviIbXDD0H885ew6fiEvpE7i2Maqk//mnfxUN5wYvRFqZDhgUMQ4z4&#10;awGPDwBtb+jeWPaGWLdzCYWMYY4q6k04oC3vzUrL9j0MwZm7A1xEULgpw7Y357abUDBEKZvNfNBa&#10;6WZVdwdgdChiF+JWUXeNbyE1W1t4D/6ZHFUBKd0ChocXdT/o3HR6uPZRx+E+/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Hsz92QAAAAwBAAAPAAAAAAAAAAEAIAAAACIAAABkcnMvZG93bnJldi54&#10;bWxQSwECFAAUAAAACACHTuJAUuKWy90CAAAkBgAADgAAAAAAAAABACAAAAAoAQAAZHJzL2Uyb0Rv&#10;Yy54bWxQSwUGAAAAAAYABgBZAQAAd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pt;height:0pt;width:442.55pt;z-index:251661312;mso-width-relative:page;mso-height-relative:page;" filled="f" stroked="t" coordsize="21600,21600" o:gfxdata="UEsDBAoAAAAAAIdO4kAAAAAAAAAAAAAAAAAEAAAAZHJzL1BLAwQUAAAACACHTuJA1XuystMAAAAG&#10;AQAADwAAAGRycy9kb3ducmV2LnhtbE2PwU7DMBBE70j8g7VI3FonQVRRiFOJSJyAA225u/E2jmqv&#10;LdtNyt9jxAFOq9lZzbxtt1dr2IwhTo4ElOsCGNLg1ESjgMP+ZVUDi0mSksYRCvjCCNvu9qaVjXIL&#10;feC8SyPLIRQbKUCn5BvO46DRyrh2Hil7JxesTFmGkasglxxuDa+KYsOtnCg3aOmx1zicdxcroH/1&#10;Va/f90uonuPbOD8Yfzp/CnF/VxZPwBJe098x/OBndOgy09FdSEVmBORHkoDVJs/s1vVjCez4u+Bd&#10;y//jd99QSwMEFAAAAAgAh07iQJzLSMDmAQAAsgMAAA4AAABkcnMvZTJvRG9jLnhtbK1TS44TMRDd&#10;I3EHy3vSnUYZhVY6s5ho2CCIBBzAcbu7LfmnKk86uQQXQGIHK5bsuQ0zx6DszmRg2MwCL/ypKr+q&#10;91xeXR6sYXsFqL1r+HxWcqac9K12fcM/frh+seQMo3CtMN6phh8V8sv182erMdSq8oM3rQJGIA7r&#10;MTR8iDHURYFyUFbgzAflyNl5sCLSEfqiBTESujVFVZYXxeihDeClQiTrZnLyEyI8BdB3nZZq4+WN&#10;VS5OqKCMiEQJBx2Qr3O1XadkfNd1qCIzDSemMc+UhPa7NBfrlah7EGHQ8lSCeEoJjzhZoR0lPUNt&#10;RBTsBvQ/UFZL8Oi7OJPeFhORrAixmJePtHk/iKAyF5Iaw1l0/H+w8u1+C0y3Da84c8LSg99+/vHr&#10;09e7n19ovv3+jVVJpDFgTbFXbgunE4YtJMaHDmxaiQs7ZGGPZ2HVITJJxsVFVb5cLjiT977i4WIA&#10;jK+VtyxtGm60S5xFLfZvMFIyCr0PSWbnr7Ux+d2MYyMVTiNBC2rGjpqAtjYQIXQ9Z8L01OUyQoZE&#10;b3SbricghH53ZYDtReqNcjF/lZlSur/CUu6NwGGKy66pa6yO9BGMtg1flmkkM902jpak16RQ2u18&#10;e8zCZTs9ZQ48tV3qlT/P+fbDV1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V7srLTAAAABgEA&#10;AA8AAAAAAAAAAQAgAAAAIgAAAGRycy9kb3ducmV2LnhtbFBLAQIUABQAAAAIAIdO4kCcy0jA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重庆市医疗保障局发布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-38100</wp:posOffset>
              </wp:positionV>
              <wp:extent cx="562038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pt;height:0pt;width:442.55pt;z-index:251664384;mso-width-relative:page;mso-height-relative:page;" filled="f" stroked="t" coordsize="21600,21600" o:gfxdata="UEsDBAoAAAAAAIdO4kAAAAAAAAAAAAAAAAAEAAAAZHJzL1BLAwQUAAAACACHTuJA1XuystMAAAAG&#10;AQAADwAAAGRycy9kb3ducmV2LnhtbE2PwU7DMBBE70j8g7VI3FonQVRRiFOJSJyAA225u/E2jmqv&#10;LdtNyt9jxAFOq9lZzbxtt1dr2IwhTo4ElOsCGNLg1ESjgMP+ZVUDi0mSksYRCvjCCNvu9qaVjXIL&#10;feC8SyPLIRQbKUCn5BvO46DRyrh2Hil7JxesTFmGkasglxxuDa+KYsOtnCg3aOmx1zicdxcroH/1&#10;Va/f90uonuPbOD8Yfzp/CnF/VxZPwBJe098x/OBndOgy09FdSEVmBORHkoDVJs/s1vVjCez4u+Bd&#10;y//jd99QSwMEFAAAAAgAh07iQKZc1t3nAQAAsgMAAA4AAABkcnMvZTJvRG9jLnhtbK1TS27bMBDd&#10;F+gdCO5rySqcuILlLGKkm6I10PYANEVKBPgDh7HsS/QCBbprV11239s0OUaHlOI0ySaLakEN5/OG&#10;73G4ujgYTfYigHK2ofNZSYmw3LXKdg39/Onq1ZISiMy2TDsrGnoUQC/WL1+sBl+LyvVOtyIQBLFQ&#10;D76hfYy+LgrgvTAMZs4Li0HpgmERt6Er2sAGRDe6qMryrBhcaH1wXACgdzMG6YQYngPopFRcbBy/&#10;NsLGETUIzSJSgl55oOt8WikFjx+kBBGJbigyjXnFJmjv0lqsV6zuAvO94tMR2HOO8IiTYcpi0xPU&#10;hkVGroN6AmUUDw6cjDPuTDESyYogi3n5SJuPPfMic0GpwZ9Eh/8Hy9/vt4GotqHnlFhm8MJvvv76&#10;8+X77e9vuN78/EHOk0iDhxpzL+02TDvw25AYH2Qw6Y9cyCELezwJKw6RcHQuzqr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e7Ky0wAAAAYB&#10;AAAPAAAAAAAAAAEAIAAAACIAAABkcnMvZG93bnJldi54bWxQSwECFAAUAAAACACHTuJAplzW3e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重庆市医疗保障局发布</w:t>
    </w:r>
    <w:bookmarkStart w:id="0" w:name="_GoBack"/>
    <w:bookmarkEnd w:id="0"/>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4"/>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4"/>
      <w:pBdr>
        <w:bottom w:val="none" w:color="auto" w:sz="0" w:space="1"/>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128905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0.15pt;height:0pt;width:442.55pt;z-index:251660288;mso-width-relative:page;mso-height-relative:page;" filled="f" stroked="t" coordsize="21600,21600" o:gfxdata="UEsDBAoAAAAAAIdO4kAAAAAAAAAAAAAAAAAEAAAAZHJzL1BLAwQUAAAACACHTuJAXRyvztEAAAAH&#10;AQAADwAAAGRycy9kb3ducmV2LnhtbE2OzU7DMBCE70i8g7VI3KjdVKqiEKcSkTgBB1q4u/E2juo/&#10;2W5S3p5FHOC2szOa+drd1Vk2Y8pT8BLWKwEM/RD05EcJH4fnhxpYLsprZYNHCV+YYdfd3rSq0WHx&#10;7zjvy8ioxOdGSTClxIbzPBh0Kq9CRE/eKSSnCsk0cp3UQuXO8kqILXdq8rRgVMTe4HDeX5yE/iVW&#10;vXk7LKl6yq/jvLHxdP6U8v5uLR6BFbyWvzD84BM6dMR0DBevM7OkKwpKqMQGGNl1vaXj+Pv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Ryvz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972EE"/>
    <w:multiLevelType w:val="singleLevel"/>
    <w:tmpl w:val="557972E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EBE7A8B"/>
    <w:rsid w:val="17570FBD"/>
    <w:rsid w:val="329E4589"/>
    <w:rsid w:val="3AA63D31"/>
    <w:rsid w:val="4EBE7A8B"/>
    <w:rsid w:val="5AD6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sz w:val="1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2022-06-13T01:05:00Z</dcterms:created>
  <dc:creator>姚远</dc:creator>
  <cp:lastModifiedBy>姚远</cp:lastModifiedBy>
  <dcterms:modified xsi:type="dcterms:W3CDTF">2022-06-23T09:02:11Z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8AA2F20779AB4887955D849482B57557</vt:lpwstr>
  </property>
</Properties>
</file>