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40" w:lineRule="exact"/>
        <w:jc w:val="center"/>
        <w:textAlignment w:val="auto"/>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40" w:lineRule="exact"/>
        <w:jc w:val="center"/>
        <w:textAlignment w:val="auto"/>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重庆市医疗保障局  重庆市卫生健康委员会</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重庆市财政局关于完善康复综合评定等20项医疗服务项目价格的通知</w:t>
      </w:r>
    </w:p>
    <w:p>
      <w:pPr>
        <w:keepNext w:val="0"/>
        <w:keepLines w:val="0"/>
        <w:pageBreakBefore w:val="0"/>
        <w:kinsoku/>
        <w:wordWrap/>
        <w:overflowPunct/>
        <w:topLinePunct w:val="0"/>
        <w:bidi w:val="0"/>
        <w:spacing w:line="600" w:lineRule="exact"/>
        <w:ind w:firstLine="160" w:firstLineChars="5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渝医保发〔2019〕26号</w:t>
      </w:r>
    </w:p>
    <w:p>
      <w:pPr>
        <w:keepNext w:val="0"/>
        <w:keepLines w:val="0"/>
        <w:pageBreakBefore w:val="0"/>
        <w:kinsoku/>
        <w:wordWrap/>
        <w:overflowPunct/>
        <w:topLinePunct w:val="0"/>
        <w:bidi w:val="0"/>
        <w:spacing w:line="600" w:lineRule="exact"/>
        <w:contextualSpacing/>
        <w:jc w:val="left"/>
        <w:textAlignment w:val="auto"/>
        <w:rPr>
          <w:rFonts w:hint="eastAsia" w:ascii="Times New Roman" w:hAnsi="Times New Roman" w:eastAsia="方正仿宋_GBK" w:cs="方正仿宋_GBK"/>
          <w:sz w:val="32"/>
          <w:szCs w:val="32"/>
        </w:rPr>
      </w:pPr>
    </w:p>
    <w:p>
      <w:pPr>
        <w:keepNext w:val="0"/>
        <w:keepLines w:val="0"/>
        <w:pageBreakBefore w:val="0"/>
        <w:kinsoku/>
        <w:wordWrap/>
        <w:overflowPunct/>
        <w:topLinePunct w:val="0"/>
        <w:bidi w:val="0"/>
        <w:snapToGrid w:val="0"/>
        <w:spacing w:line="580" w:lineRule="exact"/>
        <w:contextualSpacing/>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区县（自治县）医疗保障局、卫生健康委、财政局，两江新区社会保障局、社会发展局、财政局，万盛经开区人力社保局、卫生计生局、财政局，全市政府办公立医院，各企事业单位办公立医院，驻渝部队医院：</w:t>
      </w:r>
    </w:p>
    <w:p>
      <w:pPr>
        <w:keepNext w:val="0"/>
        <w:keepLines w:val="0"/>
        <w:pageBreakBefore w:val="0"/>
        <w:kinsoku/>
        <w:wordWrap/>
        <w:overflowPunct/>
        <w:topLinePunct w:val="0"/>
        <w:bidi w:val="0"/>
        <w:snapToGrid w:val="0"/>
        <w:spacing w:line="580" w:lineRule="exact"/>
        <w:ind w:firstLine="640" w:firstLineChars="200"/>
        <w:contextualSpacing/>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人力社保部等五部门《关于新增部分医疗康复项目纳入基本医疗保障支付范围的通知》（人社部发〔2016〕23号）、国家发展改革委等四部委《关于印发推进医疗服务价格改革意见的通知》（发改价格〔2016〕1431号）精神，为落实将部分医疗康复项目纳入我市医疗保险支付范围，保障参保残疾人医疗康复权益，经研究，决定完善康复综合评定等20项医疗服务项目价格，现将有关要求通知如下：</w:t>
      </w:r>
    </w:p>
    <w:p>
      <w:pPr>
        <w:keepNext w:val="0"/>
        <w:keepLines w:val="0"/>
        <w:pageBreakBefore w:val="0"/>
        <w:kinsoku/>
        <w:wordWrap/>
        <w:overflowPunct/>
        <w:topLinePunct w:val="0"/>
        <w:bidi w:val="0"/>
        <w:snapToGrid w:val="0"/>
        <w:spacing w:line="580" w:lineRule="exact"/>
        <w:ind w:firstLine="640" w:firstLineChars="200"/>
        <w:contextualSpacing/>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一、严格执行康复综合评定等20项医疗服务项目价格（附件1）；同时不再执行康复评定等12项医疗服务价格项目（附件2）。</w:t>
      </w:r>
    </w:p>
    <w:p>
      <w:pPr>
        <w:keepNext w:val="0"/>
        <w:keepLines w:val="0"/>
        <w:pageBreakBefore w:val="0"/>
        <w:kinsoku/>
        <w:wordWrap/>
        <w:overflowPunct/>
        <w:topLinePunct w:val="0"/>
        <w:bidi w:val="0"/>
        <w:adjustRightInd w:val="0"/>
        <w:snapToGrid w:val="0"/>
        <w:spacing w:line="580" w:lineRule="exact"/>
        <w:ind w:firstLine="640" w:firstLineChars="200"/>
        <w:contextualSpacing/>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二、各公立医院要严格按照医疗服务项目价格有关规定向患者提供服务并收取费用，严格执行价格公示、费用清单等制度，充分尊重患者知情权和选择权，不得强制或诱导服务消费。</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将康复综合评定等20项医疗康复项目纳入城镇职工基本医疗保险、城乡居民基本医疗保险支付范围，符合条件的参保患者在符合条件的定点康复医疗机构住院或门诊就医时，使用上述医疗康复项目，在限定支付范围内，按照城镇职工基本医疗保险或城乡居民基本医疗保险规定的住院政策予以报销，其中，门诊康复治疗的参保人员，须按规定申报康复治疗资格，门诊报销不计算起付标准。基金支付额度计入基本医疗保险年度基金支付限额。</w:t>
      </w:r>
    </w:p>
    <w:p>
      <w:pPr>
        <w:keepNext w:val="0"/>
        <w:keepLines w:val="0"/>
        <w:pageBreakBefore w:val="0"/>
        <w:kinsoku/>
        <w:wordWrap/>
        <w:overflowPunct/>
        <w:topLinePunct w:val="0"/>
        <w:bidi w:val="0"/>
        <w:adjustRightInd w:val="0"/>
        <w:snapToGrid w:val="0"/>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四、本通知自2019年6月1日起执行，各公立医院在执行中发现的情况要及时向市医保局、市卫生健康委反映。</w:t>
      </w:r>
    </w:p>
    <w:p>
      <w:pPr>
        <w:keepNext w:val="0"/>
        <w:keepLines w:val="0"/>
        <w:pageBreakBefore w:val="0"/>
        <w:kinsoku/>
        <w:wordWrap/>
        <w:overflowPunct/>
        <w:topLinePunct w:val="0"/>
        <w:bidi w:val="0"/>
        <w:snapToGrid w:val="0"/>
        <w:spacing w:line="58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附件：1．康复综合评定等20项医疗服务项目价格表</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0" w:firstLine="1600" w:firstLineChars="5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．不再执行康复评定等12项医疗服务价格项目表</w:t>
      </w:r>
    </w:p>
    <w:p>
      <w:pPr>
        <w:keepNext w:val="0"/>
        <w:keepLines w:val="0"/>
        <w:pageBreakBefore w:val="0"/>
        <w:kinsoku/>
        <w:wordWrap/>
        <w:overflowPunct/>
        <w:topLinePunct w:val="0"/>
        <w:autoSpaceDE w:val="0"/>
        <w:autoSpaceDN w:val="0"/>
        <w:bidi w:val="0"/>
        <w:adjustRightInd w:val="0"/>
        <w:snapToGrid w:val="0"/>
        <w:spacing w:line="580" w:lineRule="exact"/>
        <w:jc w:val="center"/>
        <w:textAlignment w:val="auto"/>
        <w:rPr>
          <w:rFonts w:hint="eastAsia" w:ascii="Times New Roman" w:hAnsi="Times New Roman" w:eastAsia="方正仿宋_GBK" w:cs="方正仿宋_GBK"/>
          <w:color w:val="000000"/>
          <w:sz w:val="32"/>
          <w:szCs w:val="32"/>
        </w:rPr>
      </w:pPr>
    </w:p>
    <w:p>
      <w:pPr>
        <w:keepNext w:val="0"/>
        <w:keepLines w:val="0"/>
        <w:pageBreakBefore w:val="0"/>
        <w:kinsoku/>
        <w:wordWrap/>
        <w:overflowPunct/>
        <w:topLinePunct w:val="0"/>
        <w:autoSpaceDE w:val="0"/>
        <w:autoSpaceDN w:val="0"/>
        <w:bidi w:val="0"/>
        <w:adjustRightInd w:val="0"/>
        <w:snapToGrid w:val="0"/>
        <w:spacing w:line="580" w:lineRule="exact"/>
        <w:jc w:val="center"/>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sz w:val="32"/>
          <w:szCs w:val="32"/>
        </w:rPr>
        <w:t xml:space="preserve">重庆市医疗保障局             </w:t>
      </w:r>
      <w:r>
        <w:rPr>
          <w:rFonts w:hint="eastAsia" w:ascii="Times New Roman" w:hAnsi="Times New Roman" w:eastAsia="方正仿宋_GBK" w:cs="方正仿宋_GBK"/>
          <w:color w:val="000000"/>
          <w:kern w:val="0"/>
          <w:sz w:val="32"/>
          <w:szCs w:val="32"/>
        </w:rPr>
        <w:t>重庆市卫生健康委员会</w:t>
      </w:r>
    </w:p>
    <w:p>
      <w:pPr>
        <w:keepNext w:val="0"/>
        <w:keepLines w:val="0"/>
        <w:pageBreakBefore w:val="0"/>
        <w:kinsoku/>
        <w:wordWrap/>
        <w:overflowPunct/>
        <w:topLinePunct w:val="0"/>
        <w:autoSpaceDE w:val="0"/>
        <w:autoSpaceDN w:val="0"/>
        <w:bidi w:val="0"/>
        <w:adjustRightInd w:val="0"/>
        <w:snapToGrid w:val="0"/>
        <w:spacing w:line="580" w:lineRule="exact"/>
        <w:ind w:left="210" w:leftChars="100" w:right="210" w:rightChars="10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w:t>
      </w:r>
    </w:p>
    <w:p>
      <w:pPr>
        <w:keepNext w:val="0"/>
        <w:keepLines w:val="0"/>
        <w:pageBreakBefore w:val="0"/>
        <w:kinsoku/>
        <w:wordWrap/>
        <w:overflowPunct/>
        <w:topLinePunct w:val="0"/>
        <w:autoSpaceDE w:val="0"/>
        <w:autoSpaceDN w:val="0"/>
        <w:bidi w:val="0"/>
        <w:adjustRightInd w:val="0"/>
        <w:snapToGrid w:val="0"/>
        <w:spacing w:line="580" w:lineRule="exact"/>
        <w:ind w:left="210" w:leftChars="100" w:right="210" w:rightChars="10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重 庆 市 财 政 局</w:t>
      </w:r>
    </w:p>
    <w:p>
      <w:pPr>
        <w:keepNext w:val="0"/>
        <w:keepLines w:val="0"/>
        <w:pageBreakBefore w:val="0"/>
        <w:widowControl/>
        <w:kinsoku/>
        <w:wordWrap/>
        <w:overflowPunct/>
        <w:topLinePunct w:val="0"/>
        <w:autoSpaceDE/>
        <w:autoSpaceDN/>
        <w:bidi w:val="0"/>
        <w:adjustRightInd/>
        <w:snapToGrid w:val="0"/>
        <w:spacing w:line="600" w:lineRule="exact"/>
        <w:jc w:val="both"/>
        <w:textAlignment w:val="auto"/>
        <w:rPr>
          <w:rFonts w:hint="eastAsia" w:ascii="Times New Roman" w:hAnsi="Times New Roman" w:eastAsia="方正仿宋_GBK"/>
          <w:sz w:val="32"/>
          <w:szCs w:val="32"/>
          <w:lang w:val="en-US" w:eastAsia="zh-CN"/>
        </w:rPr>
        <w:sectPr>
          <w:headerReference r:id="rId3" w:type="default"/>
          <w:footerReference r:id="rId4" w:type="default"/>
          <w:footerReference r:id="rId5" w:type="even"/>
          <w:pgSz w:w="11906" w:h="16838"/>
          <w:pgMar w:top="1962" w:right="1474" w:bottom="1848" w:left="1587" w:header="850" w:footer="992" w:gutter="0"/>
          <w:pgNumType w:fmt="decimal"/>
          <w:cols w:space="720" w:num="1"/>
          <w:docGrid w:type="lines" w:linePitch="455" w:charSpace="0"/>
        </w:sectPr>
      </w:pPr>
      <w:r>
        <w:rPr>
          <w:rFonts w:hint="eastAsia" w:eastAsia="方正仿宋_GBK"/>
          <w:sz w:val="32"/>
          <w:szCs w:val="32"/>
          <w:lang w:eastAsia="zh-CN"/>
        </w:rPr>
        <w:t>　　　</w:t>
      </w: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20</w:t>
      </w:r>
      <w:r>
        <w:rPr>
          <w:rFonts w:hint="eastAsia" w:ascii="Times New Roman" w:hAnsi="Times New Roman" w:eastAsia="方正仿宋_GBK"/>
          <w:sz w:val="32"/>
          <w:szCs w:val="32"/>
          <w:lang w:val="en-US" w:eastAsia="zh-CN"/>
        </w:rPr>
        <w:t>19</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5日</w:t>
      </w:r>
    </w:p>
    <w:tbl>
      <w:tblPr>
        <w:tblStyle w:val="5"/>
        <w:tblW w:w="5077" w:type="pct"/>
        <w:tblInd w:w="0" w:type="dxa"/>
        <w:tblLayout w:type="autofit"/>
        <w:tblCellMar>
          <w:top w:w="15" w:type="dxa"/>
          <w:left w:w="15" w:type="dxa"/>
          <w:bottom w:w="15" w:type="dxa"/>
          <w:right w:w="15" w:type="dxa"/>
        </w:tblCellMar>
      </w:tblPr>
      <w:tblGrid>
        <w:gridCol w:w="588"/>
        <w:gridCol w:w="1062"/>
        <w:gridCol w:w="299"/>
        <w:gridCol w:w="1205"/>
        <w:gridCol w:w="3905"/>
        <w:gridCol w:w="769"/>
        <w:gridCol w:w="769"/>
        <w:gridCol w:w="930"/>
        <w:gridCol w:w="750"/>
        <w:gridCol w:w="1052"/>
        <w:gridCol w:w="1654"/>
      </w:tblGrid>
      <w:tr>
        <w:tblPrEx>
          <w:tblCellMar>
            <w:top w:w="15" w:type="dxa"/>
            <w:left w:w="15" w:type="dxa"/>
            <w:bottom w:w="15" w:type="dxa"/>
            <w:right w:w="15" w:type="dxa"/>
          </w:tblCellMar>
        </w:tblPrEx>
        <w:trPr>
          <w:trHeight w:val="286" w:hRule="atLeast"/>
        </w:trPr>
        <w:tc>
          <w:tcPr>
            <w:tcW w:w="636" w:type="pct"/>
            <w:gridSpan w:val="2"/>
            <w:vAlign w:val="center"/>
          </w:tcPr>
          <w:p>
            <w:pPr>
              <w:keepNext w:val="0"/>
              <w:keepLines w:val="0"/>
              <w:pageBreakBefore w:val="0"/>
              <w:widowControl/>
              <w:kinsoku/>
              <w:wordWrap/>
              <w:overflowPunct/>
              <w:topLinePunct w:val="0"/>
              <w:autoSpaceDE/>
              <w:autoSpaceDN/>
              <w:bidi w:val="0"/>
              <w:adjustRightInd/>
              <w:snapToGrid w:val="0"/>
              <w:spacing w:line="600" w:lineRule="exact"/>
              <w:jc w:val="left"/>
              <w:textAlignment w:val="center"/>
              <w:rPr>
                <w:rFonts w:hint="eastAsia" w:ascii="Times New Roman" w:hAnsi="Times New Roman" w:eastAsia="宋体" w:cs="宋体"/>
                <w:color w:val="000000"/>
                <w:sz w:val="24"/>
                <w:szCs w:val="24"/>
              </w:rPr>
            </w:pPr>
            <w:r>
              <w:rPr>
                <w:rFonts w:hint="eastAsia" w:ascii="Times New Roman" w:hAnsi="Times New Roman" w:eastAsia="方正黑体_GBK" w:cs="方正黑体_GBK"/>
                <w:color w:val="000000"/>
                <w:kern w:val="0"/>
                <w:sz w:val="32"/>
                <w:szCs w:val="32"/>
                <w:lang w:bidi="ar"/>
              </w:rPr>
              <w:t>附件1</w:t>
            </w:r>
          </w:p>
        </w:tc>
        <w:tc>
          <w:tcPr>
            <w:tcW w:w="579" w:type="pct"/>
            <w:gridSpan w:val="2"/>
            <w:vAlign w:val="center"/>
          </w:tcPr>
          <w:p>
            <w:pPr>
              <w:rPr>
                <w:rFonts w:hint="eastAsia" w:ascii="Times New Roman" w:hAnsi="Times New Roman" w:eastAsia="宋体" w:cs="宋体"/>
                <w:color w:val="000000"/>
                <w:sz w:val="22"/>
                <w:szCs w:val="22"/>
              </w:rPr>
            </w:pPr>
          </w:p>
        </w:tc>
        <w:tc>
          <w:tcPr>
            <w:tcW w:w="1504" w:type="pct"/>
            <w:vAlign w:val="center"/>
          </w:tcPr>
          <w:p>
            <w:pPr>
              <w:rPr>
                <w:rFonts w:hint="eastAsia" w:ascii="Times New Roman" w:hAnsi="Times New Roman" w:eastAsia="宋体" w:cs="宋体"/>
                <w:color w:val="000000"/>
                <w:sz w:val="22"/>
                <w:szCs w:val="22"/>
              </w:rPr>
            </w:pPr>
          </w:p>
        </w:tc>
        <w:tc>
          <w:tcPr>
            <w:tcW w:w="296" w:type="pct"/>
            <w:vAlign w:val="center"/>
          </w:tcPr>
          <w:p>
            <w:pPr>
              <w:rPr>
                <w:rFonts w:hint="eastAsia" w:ascii="Times New Roman" w:hAnsi="Times New Roman" w:eastAsia="宋体" w:cs="宋体"/>
                <w:color w:val="000000"/>
                <w:sz w:val="22"/>
                <w:szCs w:val="22"/>
              </w:rPr>
            </w:pPr>
          </w:p>
        </w:tc>
        <w:tc>
          <w:tcPr>
            <w:tcW w:w="296" w:type="pct"/>
            <w:vAlign w:val="center"/>
          </w:tcPr>
          <w:p>
            <w:pPr>
              <w:rPr>
                <w:rFonts w:hint="eastAsia" w:ascii="Times New Roman" w:hAnsi="Times New Roman" w:eastAsia="宋体" w:cs="宋体"/>
                <w:color w:val="000000"/>
                <w:sz w:val="22"/>
                <w:szCs w:val="22"/>
              </w:rPr>
            </w:pPr>
          </w:p>
        </w:tc>
        <w:tc>
          <w:tcPr>
            <w:tcW w:w="358" w:type="pct"/>
            <w:vAlign w:val="center"/>
          </w:tcPr>
          <w:p>
            <w:pPr>
              <w:jc w:val="left"/>
              <w:rPr>
                <w:rFonts w:hint="eastAsia" w:ascii="Times New Roman" w:hAnsi="Times New Roman" w:eastAsia="宋体" w:cs="宋体"/>
                <w:color w:val="000000"/>
                <w:sz w:val="22"/>
                <w:szCs w:val="22"/>
              </w:rPr>
            </w:pPr>
          </w:p>
        </w:tc>
        <w:tc>
          <w:tcPr>
            <w:tcW w:w="289" w:type="pct"/>
            <w:vAlign w:val="center"/>
          </w:tcPr>
          <w:p>
            <w:pPr>
              <w:rPr>
                <w:rFonts w:hint="eastAsia" w:ascii="Times New Roman" w:hAnsi="Times New Roman" w:eastAsia="宋体" w:cs="宋体"/>
                <w:color w:val="000000"/>
                <w:sz w:val="22"/>
                <w:szCs w:val="22"/>
              </w:rPr>
            </w:pPr>
          </w:p>
        </w:tc>
        <w:tc>
          <w:tcPr>
            <w:tcW w:w="405" w:type="pct"/>
            <w:vAlign w:val="center"/>
          </w:tcPr>
          <w:p>
            <w:pPr>
              <w:rPr>
                <w:rFonts w:hint="eastAsia" w:ascii="Times New Roman" w:hAnsi="Times New Roman" w:eastAsia="宋体" w:cs="宋体"/>
                <w:color w:val="000000"/>
                <w:sz w:val="22"/>
                <w:szCs w:val="22"/>
              </w:rPr>
            </w:pPr>
          </w:p>
        </w:tc>
        <w:tc>
          <w:tcPr>
            <w:tcW w:w="631" w:type="pct"/>
            <w:vAlign w:val="center"/>
          </w:tcPr>
          <w:p>
            <w:pPr>
              <w:rPr>
                <w:rFonts w:hint="eastAsia" w:ascii="Times New Roman" w:hAnsi="Times New Roman" w:eastAsia="宋体" w:cs="宋体"/>
                <w:color w:val="000000"/>
                <w:sz w:val="22"/>
                <w:szCs w:val="22"/>
              </w:rPr>
            </w:pPr>
          </w:p>
        </w:tc>
      </w:tr>
      <w:tr>
        <w:trPr>
          <w:trHeight w:val="480" w:hRule="atLeast"/>
        </w:trPr>
        <w:tc>
          <w:tcPr>
            <w:tcW w:w="5000" w:type="pct"/>
            <w:gridSpan w:val="11"/>
            <w:shd w:val="clear" w:color="auto" w:fill="FFFFFF"/>
            <w:vAlign w:val="center"/>
          </w:tcPr>
          <w:p>
            <w:pPr>
              <w:widowControl/>
              <w:jc w:val="center"/>
              <w:textAlignment w:val="center"/>
              <w:rPr>
                <w:rFonts w:ascii="Times New Roman" w:hAnsi="Times New Roman" w:eastAsia="方正小标宋_GBK" w:cs="方正小标宋_GBK"/>
                <w:color w:val="000000"/>
                <w:sz w:val="36"/>
                <w:szCs w:val="36"/>
              </w:rPr>
            </w:pPr>
            <w:r>
              <w:rPr>
                <w:rFonts w:hint="eastAsia" w:ascii="Times New Roman" w:hAnsi="Times New Roman" w:eastAsia="方正小标宋_GBK" w:cs="方正小标宋_GBK"/>
                <w:color w:val="000000"/>
                <w:kern w:val="0"/>
                <w:sz w:val="44"/>
                <w:szCs w:val="44"/>
                <w:lang w:bidi="ar"/>
              </w:rPr>
              <w:t>康复综合评定等20项医疗服务项目价格表</w:t>
            </w:r>
          </w:p>
        </w:tc>
      </w:tr>
      <w:tr>
        <w:tblPrEx>
          <w:tblCellMar>
            <w:top w:w="15" w:type="dxa"/>
            <w:left w:w="15" w:type="dxa"/>
            <w:bottom w:w="15" w:type="dxa"/>
            <w:right w:w="15" w:type="dxa"/>
          </w:tblCellMar>
        </w:tblPrEx>
        <w:trPr>
          <w:trHeight w:val="66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序号</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项目编码</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w:t>
            </w:r>
          </w:p>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名称</w:t>
            </w: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项目内涵</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除外</w:t>
            </w:r>
          </w:p>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内容</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计价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政府指导价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（元）</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w:t>
            </w:r>
          </w:p>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说明</w:t>
            </w:r>
          </w:p>
        </w:tc>
        <w:tc>
          <w:tcPr>
            <w:tcW w:w="4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医保</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报销属性</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Times New Roman" w:hAnsi="Times New Roman" w:eastAsia="方正黑体_GBK" w:cs="方正黑体_GBK"/>
                <w:b w:val="0"/>
                <w:bCs/>
                <w:color w:val="000000"/>
                <w:sz w:val="24"/>
                <w:szCs w:val="24"/>
              </w:rPr>
            </w:pPr>
            <w:r>
              <w:rPr>
                <w:rFonts w:hint="eastAsia" w:ascii="Times New Roman" w:hAnsi="Times New Roman" w:eastAsia="方正黑体_GBK" w:cs="方正黑体_GBK"/>
                <w:b w:val="0"/>
                <w:bCs/>
                <w:color w:val="000000"/>
                <w:kern w:val="0"/>
                <w:sz w:val="24"/>
                <w:szCs w:val="24"/>
                <w:lang w:bidi="ar"/>
              </w:rPr>
              <w:t>限定支付范围</w:t>
            </w:r>
          </w:p>
        </w:tc>
      </w:tr>
      <w:tr>
        <w:tblPrEx>
          <w:tblCellMar>
            <w:top w:w="15" w:type="dxa"/>
            <w:left w:w="15" w:type="dxa"/>
            <w:bottom w:w="15" w:type="dxa"/>
            <w:right w:w="15" w:type="dxa"/>
          </w:tblCellMar>
        </w:tblPrEx>
        <w:trPr>
          <w:trHeight w:val="257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MAMZY003</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exact"/>
              <w:jc w:val="center"/>
              <w:textAlignment w:val="center"/>
              <w:rPr>
                <w:rFonts w:hint="eastAsia"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康复综合</w:t>
            </w:r>
          </w:p>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评定</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napToGrid w:val="0"/>
              <w:spacing w:line="24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以康复评价会的形式进行。根据患者具体情况，康复医生、康复护士、运动、作业、语言、社会工作者、心理治疗师、假肢技师参与评价会。评价会对患者身体功能，家庭状况，社会环境等材料进行收集，对患者身体功能及残存能力进行量化，制定近期、远期目标和训练计划的目的，调整训练计划，在患者出院前，判定康复治疗的效果，继续恢复的可能性，是否达到预期的康复目标及为患者出院后如何进行自我训练提供依据，为回归家庭、社会提供必要的帮助。</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snapToGrid w:val="0"/>
              <w:spacing w:line="24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25.00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40" w:lineRule="exact"/>
              <w:jc w:val="left"/>
              <w:rPr>
                <w:rFonts w:hint="eastAsia" w:ascii="Times New Roman" w:hAnsi="Times New Roman" w:eastAsia="宋体" w:cs="宋体"/>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napToGrid w:val="0"/>
              <w:spacing w:line="24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有明确的功能障碍；评定由3名以上专业人员开展，至少包含两个评估项目；一个住院期间医保支付不超过三次；两次评定间隔时间不短于14天。</w:t>
            </w:r>
          </w:p>
        </w:tc>
      </w:tr>
      <w:tr>
        <w:tblPrEx>
          <w:tblCellMar>
            <w:top w:w="15" w:type="dxa"/>
            <w:left w:w="15" w:type="dxa"/>
            <w:bottom w:w="15" w:type="dxa"/>
            <w:right w:w="15" w:type="dxa"/>
          </w:tblCellMar>
        </w:tblPrEx>
        <w:trPr>
          <w:trHeight w:val="1240" w:hRule="atLeast"/>
        </w:trPr>
        <w:tc>
          <w:tcPr>
            <w:tcW w:w="22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2</w:t>
            </w:r>
          </w:p>
        </w:tc>
        <w:tc>
          <w:tcPr>
            <w:tcW w:w="524" w:type="pct"/>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MAGGK001</w:t>
            </w:r>
          </w:p>
        </w:tc>
        <w:tc>
          <w:tcPr>
            <w:tcW w:w="463"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napToGrid w:val="0"/>
              <w:spacing w:line="240" w:lineRule="exact"/>
              <w:jc w:val="center"/>
              <w:textAlignment w:val="center"/>
              <w:rPr>
                <w:rFonts w:hint="eastAsia"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吞咽功能</w:t>
            </w:r>
          </w:p>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障碍检查</w:t>
            </w:r>
          </w:p>
        </w:tc>
        <w:tc>
          <w:tcPr>
            <w:tcW w:w="1504" w:type="pct"/>
            <w:tcBorders>
              <w:top w:val="single" w:color="000000" w:sz="4" w:space="0"/>
              <w:left w:val="single" w:color="000000" w:sz="4" w:space="0"/>
              <w:bottom w:val="single" w:color="auto" w:sz="4" w:space="0"/>
              <w:right w:val="single" w:color="000000" w:sz="4" w:space="0"/>
            </w:tcBorders>
            <w:shd w:val="clear" w:color="000000" w:fill="FFFFFF"/>
            <w:vAlign w:val="center"/>
          </w:tcPr>
          <w:p>
            <w:pPr>
              <w:widowControl/>
              <w:snapToGrid w:val="0"/>
              <w:spacing w:line="24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使用口颜面功能检查表、吞咽功能检查表、吞咽失用检查表对患者的口唇、舌、颊、颌、软腭、喉的运动及功能进行检查，对患者的吞咽动作和饮水过程有无呛咳、所需时间、饮水状况进行分级。人工报告。</w:t>
            </w:r>
          </w:p>
        </w:tc>
        <w:tc>
          <w:tcPr>
            <w:tcW w:w="296" w:type="pct"/>
            <w:tcBorders>
              <w:top w:val="single" w:color="000000" w:sz="4" w:space="0"/>
              <w:left w:val="single" w:color="000000" w:sz="4" w:space="0"/>
              <w:bottom w:val="single" w:color="auto" w:sz="4" w:space="0"/>
              <w:right w:val="single" w:color="000000" w:sz="4" w:space="0"/>
            </w:tcBorders>
            <w:shd w:val="clear" w:color="auto" w:fill="FFFFFF"/>
          </w:tcPr>
          <w:p>
            <w:pPr>
              <w:snapToGrid w:val="0"/>
              <w:spacing w:line="24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25.00 </w:t>
            </w:r>
          </w:p>
        </w:tc>
        <w:tc>
          <w:tcPr>
            <w:tcW w:w="289" w:type="pct"/>
            <w:tcBorders>
              <w:top w:val="single" w:color="000000" w:sz="4" w:space="0"/>
              <w:left w:val="single" w:color="000000" w:sz="4" w:space="0"/>
              <w:bottom w:val="single" w:color="auto" w:sz="4" w:space="0"/>
              <w:right w:val="single" w:color="000000" w:sz="4" w:space="0"/>
            </w:tcBorders>
            <w:shd w:val="clear" w:color="auto" w:fill="auto"/>
          </w:tcPr>
          <w:p>
            <w:pPr>
              <w:snapToGrid w:val="0"/>
              <w:spacing w:line="340" w:lineRule="exact"/>
              <w:jc w:val="left"/>
              <w:rPr>
                <w:rFonts w:hint="eastAsia" w:ascii="Times New Roman" w:hAnsi="Times New Roman" w:eastAsia="宋体" w:cs="宋体"/>
                <w:color w:val="000000"/>
                <w:sz w:val="22"/>
                <w:szCs w:val="22"/>
              </w:rPr>
            </w:pPr>
          </w:p>
        </w:tc>
        <w:tc>
          <w:tcPr>
            <w:tcW w:w="405"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napToGrid w:val="0"/>
              <w:spacing w:line="3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auto" w:sz="4" w:space="0"/>
              <w:right w:val="single" w:color="000000" w:sz="4" w:space="0"/>
            </w:tcBorders>
            <w:shd w:val="clear" w:color="000000" w:fill="FFFFFF"/>
            <w:vAlign w:val="center"/>
          </w:tcPr>
          <w:p>
            <w:pPr>
              <w:widowControl/>
              <w:snapToGrid w:val="0"/>
              <w:spacing w:line="24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一个疾病过程支付不超过三次。</w:t>
            </w:r>
          </w:p>
        </w:tc>
      </w:tr>
      <w:tr>
        <w:tblPrEx>
          <w:tblCellMar>
            <w:top w:w="15" w:type="dxa"/>
            <w:left w:w="15" w:type="dxa"/>
            <w:bottom w:w="15" w:type="dxa"/>
            <w:right w:w="15" w:type="dxa"/>
          </w:tblCellMar>
        </w:tblPrEx>
        <w:trPr>
          <w:trHeight w:val="1097" w:hRule="atLeast"/>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3</w:t>
            </w:r>
          </w:p>
        </w:tc>
        <w:tc>
          <w:tcPr>
            <w:tcW w:w="52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MAHWR001</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手功能评定</w:t>
            </w:r>
          </w:p>
        </w:tc>
        <w:tc>
          <w:tcPr>
            <w:tcW w:w="150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line="24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利用计算机上肢功能评价系统对患者进行手部功能的检查，其中有速度、协调性以及动作完成的准确性等量化指标，同时电脑记录相关数据。人工报告。</w:t>
            </w:r>
          </w:p>
        </w:tc>
        <w:tc>
          <w:tcPr>
            <w:tcW w:w="296" w:type="pct"/>
            <w:tcBorders>
              <w:top w:val="single" w:color="auto" w:sz="4" w:space="0"/>
              <w:left w:val="single" w:color="auto" w:sz="4" w:space="0"/>
              <w:bottom w:val="single" w:color="auto" w:sz="4" w:space="0"/>
              <w:right w:val="single" w:color="auto" w:sz="4" w:space="0"/>
            </w:tcBorders>
            <w:shd w:val="clear" w:color="auto" w:fill="FFFFFF"/>
          </w:tcPr>
          <w:p>
            <w:pPr>
              <w:snapToGrid w:val="0"/>
              <w:spacing w:line="240" w:lineRule="exact"/>
              <w:jc w:val="left"/>
              <w:rPr>
                <w:rFonts w:hint="eastAsia" w:ascii="Times New Roman" w:hAnsi="Times New Roman" w:eastAsia="宋体" w:cs="宋体"/>
                <w:color w:val="000000"/>
                <w:sz w:val="22"/>
                <w:szCs w:val="22"/>
              </w:rPr>
            </w:pP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20.00 </w:t>
            </w:r>
          </w:p>
        </w:tc>
        <w:tc>
          <w:tcPr>
            <w:tcW w:w="289"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40" w:lineRule="exact"/>
              <w:jc w:val="center"/>
              <w:rPr>
                <w:rFonts w:hint="eastAsia" w:ascii="Times New Roman" w:hAnsi="Times New Roman" w:eastAsia="宋体" w:cs="宋体"/>
                <w:color w:val="000000"/>
                <w:sz w:val="22"/>
                <w:szCs w:val="22"/>
              </w:rPr>
            </w:pP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24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明确手功能障碍患者，总时间不超过90天，评定间隔时间不短于14天。</w:t>
            </w:r>
          </w:p>
        </w:tc>
      </w:tr>
      <w:tr>
        <w:tblPrEx>
          <w:tblCellMar>
            <w:top w:w="15" w:type="dxa"/>
            <w:left w:w="15" w:type="dxa"/>
            <w:bottom w:w="15" w:type="dxa"/>
            <w:right w:w="15" w:type="dxa"/>
          </w:tblCellMar>
        </w:tblPrEx>
        <w:trPr>
          <w:trHeight w:val="1016" w:hRule="atLeast"/>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序号</w:t>
            </w:r>
          </w:p>
        </w:tc>
        <w:tc>
          <w:tcPr>
            <w:tcW w:w="52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项目编码</w:t>
            </w:r>
          </w:p>
        </w:tc>
        <w:tc>
          <w:tcPr>
            <w:tcW w:w="46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名称</w:t>
            </w:r>
          </w:p>
        </w:tc>
        <w:tc>
          <w:tcPr>
            <w:tcW w:w="1504"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项目内涵</w:t>
            </w:r>
          </w:p>
        </w:tc>
        <w:tc>
          <w:tcPr>
            <w:tcW w:w="29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除外</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内容</w:t>
            </w:r>
          </w:p>
        </w:tc>
        <w:tc>
          <w:tcPr>
            <w:tcW w:w="29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单位</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政府指导价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（元）</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计价说明</w:t>
            </w:r>
          </w:p>
        </w:tc>
        <w:tc>
          <w:tcPr>
            <w:tcW w:w="4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医保</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报销属性</w:t>
            </w:r>
          </w:p>
        </w:tc>
        <w:tc>
          <w:tcPr>
            <w:tcW w:w="631"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限定支付范围</w:t>
            </w:r>
          </w:p>
        </w:tc>
      </w:tr>
      <w:tr>
        <w:tblPrEx>
          <w:tblCellMar>
            <w:top w:w="15" w:type="dxa"/>
            <w:left w:w="15" w:type="dxa"/>
            <w:bottom w:w="15" w:type="dxa"/>
            <w:right w:w="15" w:type="dxa"/>
          </w:tblCellMar>
        </w:tblPrEx>
        <w:trPr>
          <w:trHeight w:val="1726" w:hRule="atLeast"/>
        </w:trPr>
        <w:tc>
          <w:tcPr>
            <w:tcW w:w="22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4</w:t>
            </w:r>
          </w:p>
        </w:tc>
        <w:tc>
          <w:tcPr>
            <w:tcW w:w="52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FFA04704</w:t>
            </w:r>
          </w:p>
        </w:tc>
        <w:tc>
          <w:tcPr>
            <w:tcW w:w="463"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平衡试验</w:t>
            </w:r>
          </w:p>
        </w:tc>
        <w:tc>
          <w:tcPr>
            <w:tcW w:w="1504" w:type="pc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含平衡台试验，行感觉结构分析，分别在六种条件下行静态平衡功能检查，每个条件下做两次，观察各条件下足底压力中心的晃动面积及前后、左右的晃动长度及平衡得分，行感觉结构分析，分别观察视觉、本体觉以及前庭觉在平衡维持中的得分，计算Romberg商，行稳定极限范围试验，观察患者在保持不跌倒的情况下身体中心晃动的最大范围。行跌倒评估试验，在平板运动情况下让患者睁眼、闭眼，观察患者身体随平板运动时的增益、幅值及能量消耗情况，预估跌倒的机率。视动试验旋转试验，甘油试验。不含平板试验。</w:t>
            </w:r>
          </w:p>
        </w:tc>
        <w:tc>
          <w:tcPr>
            <w:tcW w:w="296"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Times New Roman" w:hAnsi="Times New Roman" w:eastAsia="宋体" w:cs="宋体"/>
                <w:color w:val="000000"/>
                <w:sz w:val="22"/>
                <w:szCs w:val="22"/>
              </w:rPr>
            </w:pPr>
          </w:p>
        </w:tc>
        <w:tc>
          <w:tcPr>
            <w:tcW w:w="296"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28.00 </w:t>
            </w:r>
          </w:p>
        </w:tc>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left"/>
              <w:rPr>
                <w:rFonts w:hint="eastAsia" w:ascii="Times New Roman" w:hAnsi="Times New Roman" w:eastAsia="宋体" w:cs="宋体"/>
                <w:color w:val="000000"/>
                <w:sz w:val="20"/>
              </w:rPr>
            </w:pPr>
          </w:p>
        </w:tc>
        <w:tc>
          <w:tcPr>
            <w:tcW w:w="40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评定间隔时间不短于14天。</w:t>
            </w:r>
          </w:p>
        </w:tc>
      </w:tr>
      <w:tr>
        <w:tblPrEx>
          <w:tblCellMar>
            <w:top w:w="15" w:type="dxa"/>
            <w:left w:w="15" w:type="dxa"/>
            <w:bottom w:w="15" w:type="dxa"/>
            <w:right w:w="15" w:type="dxa"/>
          </w:tblCellMar>
        </w:tblPrEx>
        <w:trPr>
          <w:trHeight w:val="816" w:hRule="exact"/>
        </w:trPr>
        <w:tc>
          <w:tcPr>
            <w:tcW w:w="227"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color w:val="000000"/>
                <w:sz w:val="22"/>
                <w:szCs w:val="22"/>
              </w:rPr>
            </w:pPr>
          </w:p>
        </w:tc>
        <w:tc>
          <w:tcPr>
            <w:tcW w:w="524" w:type="pct"/>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FFA04704a</w:t>
            </w:r>
          </w:p>
        </w:tc>
        <w:tc>
          <w:tcPr>
            <w:tcW w:w="463"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平衡试验</w:t>
            </w:r>
          </w:p>
          <w:p>
            <w:pPr>
              <w:widowControl/>
              <w:spacing w:line="240" w:lineRule="exact"/>
              <w:jc w:val="center"/>
              <w:textAlignment w:val="center"/>
              <w:rPr>
                <w:rFonts w:hint="eastAsia"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（平衡台</w:t>
            </w:r>
          </w:p>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试验）</w:t>
            </w:r>
          </w:p>
        </w:tc>
        <w:tc>
          <w:tcPr>
            <w:tcW w:w="1504" w:type="pct"/>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exact"/>
              <w:jc w:val="left"/>
              <w:rPr>
                <w:rFonts w:hint="eastAsia" w:ascii="Times New Roman" w:hAnsi="Times New Roman" w:eastAsia="宋体" w:cs="宋体"/>
                <w:color w:val="000000"/>
                <w:sz w:val="18"/>
                <w:szCs w:val="18"/>
              </w:rPr>
            </w:pPr>
          </w:p>
        </w:tc>
        <w:tc>
          <w:tcPr>
            <w:tcW w:w="296" w:type="pct"/>
            <w:tcBorders>
              <w:top w:val="single" w:color="auto" w:sz="4" w:space="0"/>
              <w:left w:val="single" w:color="000000" w:sz="4" w:space="0"/>
              <w:bottom w:val="single" w:color="000000" w:sz="4" w:space="0"/>
              <w:right w:val="single" w:color="000000" w:sz="4" w:space="0"/>
            </w:tcBorders>
            <w:shd w:val="clear" w:color="auto" w:fill="FFFFFF"/>
          </w:tcPr>
          <w:p>
            <w:pPr>
              <w:spacing w:line="240" w:lineRule="exact"/>
              <w:jc w:val="left"/>
              <w:rPr>
                <w:rFonts w:hint="eastAsia" w:ascii="Times New Roman" w:hAnsi="Times New Roman" w:eastAsia="宋体" w:cs="宋体"/>
                <w:color w:val="000000"/>
                <w:sz w:val="22"/>
                <w:szCs w:val="22"/>
              </w:rPr>
            </w:pPr>
          </w:p>
        </w:tc>
        <w:tc>
          <w:tcPr>
            <w:tcW w:w="296" w:type="pct"/>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28.00 </w:t>
            </w:r>
          </w:p>
        </w:tc>
        <w:tc>
          <w:tcPr>
            <w:tcW w:w="289" w:type="pct"/>
            <w:tcBorders>
              <w:top w:val="single" w:color="auto" w:sz="4" w:space="0"/>
              <w:left w:val="single" w:color="000000" w:sz="4" w:space="0"/>
              <w:bottom w:val="single" w:color="000000" w:sz="4" w:space="0"/>
              <w:right w:val="single" w:color="000000" w:sz="4" w:space="0"/>
            </w:tcBorders>
            <w:shd w:val="clear" w:color="auto" w:fill="auto"/>
          </w:tcPr>
          <w:p>
            <w:pPr>
              <w:spacing w:line="240" w:lineRule="exact"/>
              <w:jc w:val="left"/>
              <w:rPr>
                <w:rFonts w:hint="eastAsia" w:ascii="Times New Roman" w:hAnsi="Times New Roman" w:eastAsia="宋体" w:cs="宋体"/>
                <w:color w:val="000000"/>
                <w:sz w:val="22"/>
                <w:szCs w:val="22"/>
              </w:rPr>
            </w:pPr>
          </w:p>
        </w:tc>
        <w:tc>
          <w:tcPr>
            <w:tcW w:w="40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宋体" w:cs="宋体"/>
                <w:color w:val="000000"/>
                <w:sz w:val="22"/>
                <w:szCs w:val="22"/>
              </w:rPr>
            </w:pPr>
          </w:p>
        </w:tc>
        <w:tc>
          <w:tcPr>
            <w:tcW w:w="631" w:type="pct"/>
            <w:vMerge w:val="continue"/>
            <w:tcBorders>
              <w:top w:val="single" w:color="auto" w:sz="4" w:space="0"/>
              <w:left w:val="single" w:color="000000" w:sz="4" w:space="0"/>
              <w:bottom w:val="single" w:color="000000" w:sz="4" w:space="0"/>
              <w:right w:val="single" w:color="000000" w:sz="4" w:space="0"/>
            </w:tcBorders>
            <w:shd w:val="clear" w:color="000000" w:fill="FFFFFF"/>
            <w:vAlign w:val="center"/>
          </w:tcPr>
          <w:p>
            <w:pPr>
              <w:spacing w:line="240" w:lineRule="exact"/>
              <w:jc w:val="left"/>
              <w:rPr>
                <w:rFonts w:hint="eastAsia" w:ascii="Times New Roman" w:hAnsi="Times New Roman" w:eastAsia="宋体" w:cs="宋体"/>
                <w:color w:val="000000"/>
                <w:sz w:val="18"/>
                <w:szCs w:val="18"/>
              </w:rPr>
            </w:pPr>
          </w:p>
        </w:tc>
      </w:tr>
      <w:tr>
        <w:trPr>
          <w:trHeight w:val="816" w:hRule="exac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color w:val="000000"/>
                <w:sz w:val="22"/>
                <w:szCs w:val="22"/>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FFA04704b</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平衡试验</w:t>
            </w:r>
          </w:p>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（视动试验）</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left"/>
              <w:rPr>
                <w:rFonts w:hint="eastAsia" w:ascii="Times New Roman" w:hAnsi="Times New Roman" w:eastAsia="宋体" w:cs="宋体"/>
                <w:color w:val="000000"/>
                <w:sz w:val="18"/>
                <w:szCs w:val="18"/>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spacing w:line="24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28.00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spacing w:line="240" w:lineRule="exact"/>
              <w:jc w:val="left"/>
              <w:rPr>
                <w:rFonts w:hint="eastAsia" w:ascii="Times New Roman" w:hAnsi="Times New Roman" w:eastAsia="宋体" w:cs="宋体"/>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宋体" w:cs="宋体"/>
                <w:color w:val="000000"/>
                <w:sz w:val="22"/>
                <w:szCs w:val="22"/>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left"/>
              <w:rPr>
                <w:rFonts w:hint="eastAsia" w:ascii="Times New Roman" w:hAnsi="Times New Roman" w:eastAsia="宋体" w:cs="宋体"/>
                <w:color w:val="000000"/>
                <w:sz w:val="18"/>
                <w:szCs w:val="18"/>
              </w:rPr>
            </w:pPr>
          </w:p>
        </w:tc>
      </w:tr>
      <w:tr>
        <w:tblPrEx>
          <w:tblCellMar>
            <w:top w:w="15" w:type="dxa"/>
            <w:left w:w="15" w:type="dxa"/>
            <w:bottom w:w="15" w:type="dxa"/>
            <w:right w:w="15" w:type="dxa"/>
          </w:tblCellMar>
        </w:tblPrEx>
        <w:trPr>
          <w:trHeight w:val="816" w:hRule="exac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color w:val="000000"/>
                <w:sz w:val="22"/>
                <w:szCs w:val="22"/>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FFA04704c</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平衡试验</w:t>
            </w:r>
          </w:p>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（旋转试验）</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left"/>
              <w:rPr>
                <w:rFonts w:hint="eastAsia" w:ascii="Times New Roman" w:hAnsi="Times New Roman" w:eastAsia="宋体" w:cs="宋体"/>
                <w:color w:val="000000"/>
                <w:sz w:val="18"/>
                <w:szCs w:val="18"/>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spacing w:line="24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28.00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spacing w:line="240" w:lineRule="exact"/>
              <w:jc w:val="left"/>
              <w:rPr>
                <w:rFonts w:hint="eastAsia" w:ascii="Times New Roman" w:hAnsi="Times New Roman" w:eastAsia="宋体" w:cs="宋体"/>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宋体" w:cs="宋体"/>
                <w:color w:val="000000"/>
                <w:sz w:val="22"/>
                <w:szCs w:val="22"/>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left"/>
              <w:rPr>
                <w:rFonts w:hint="eastAsia" w:ascii="Times New Roman" w:hAnsi="Times New Roman" w:eastAsia="宋体" w:cs="宋体"/>
                <w:color w:val="000000"/>
                <w:sz w:val="18"/>
                <w:szCs w:val="18"/>
              </w:rPr>
            </w:pPr>
          </w:p>
        </w:tc>
      </w:tr>
      <w:tr>
        <w:tblPrEx>
          <w:tblCellMar>
            <w:top w:w="15" w:type="dxa"/>
            <w:left w:w="15" w:type="dxa"/>
            <w:bottom w:w="15" w:type="dxa"/>
            <w:right w:w="15" w:type="dxa"/>
          </w:tblCellMar>
        </w:tblPrEx>
        <w:trPr>
          <w:trHeight w:val="816" w:hRule="exac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宋体"/>
                <w:color w:val="000000"/>
                <w:sz w:val="22"/>
                <w:szCs w:val="22"/>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FFA04704d</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平衡试验</w:t>
            </w:r>
          </w:p>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（甘油试验）</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left"/>
              <w:rPr>
                <w:rFonts w:hint="eastAsia" w:ascii="Times New Roman" w:hAnsi="Times New Roman" w:eastAsia="宋体" w:cs="宋体"/>
                <w:color w:val="000000"/>
                <w:sz w:val="18"/>
                <w:szCs w:val="18"/>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spacing w:line="24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28.00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spacing w:line="240" w:lineRule="exact"/>
              <w:jc w:val="left"/>
              <w:rPr>
                <w:rFonts w:hint="eastAsia" w:ascii="Times New Roman" w:hAnsi="Times New Roman" w:eastAsia="宋体" w:cs="宋体"/>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eastAsia" w:ascii="Times New Roman" w:hAnsi="Times New Roman" w:eastAsia="宋体" w:cs="宋体"/>
                <w:color w:val="000000"/>
                <w:sz w:val="22"/>
                <w:szCs w:val="22"/>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240" w:lineRule="exact"/>
              <w:jc w:val="left"/>
              <w:rPr>
                <w:rFonts w:hint="eastAsia" w:ascii="Times New Roman" w:hAnsi="Times New Roman" w:eastAsia="宋体" w:cs="宋体"/>
                <w:color w:val="000000"/>
                <w:sz w:val="18"/>
                <w:szCs w:val="18"/>
              </w:rPr>
            </w:pPr>
          </w:p>
        </w:tc>
      </w:tr>
      <w:tr>
        <w:tblPrEx>
          <w:tblCellMar>
            <w:top w:w="15" w:type="dxa"/>
            <w:left w:w="15" w:type="dxa"/>
            <w:bottom w:w="15" w:type="dxa"/>
            <w:right w:w="15" w:type="dxa"/>
          </w:tblCellMar>
        </w:tblPrEx>
        <w:trPr>
          <w:trHeight w:val="9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序号</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项目编码</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名称</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项目内涵</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除外</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内容</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政府指导价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（元）</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计价说明</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医保</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报销属性</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限定支付范围</w:t>
            </w:r>
          </w:p>
        </w:tc>
      </w:tr>
      <w:tr>
        <w:tblPrEx>
          <w:tblCellMar>
            <w:top w:w="15" w:type="dxa"/>
            <w:left w:w="15" w:type="dxa"/>
            <w:bottom w:w="15" w:type="dxa"/>
            <w:right w:w="15" w:type="dxa"/>
          </w:tblCellMar>
        </w:tblPrEx>
        <w:trPr>
          <w:trHeight w:val="9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5</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KFA19901</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平衡训练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受试者立于平衡台上，不断的变换姿势以达到与投影设施上目标一致来锻炼自己的平衡能力，技术人员根据受试者当前平衡状态控制目标移动的方式、速度、大小等来控制平衡训练的难度，同时保护受试者安全。</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autoSpaceDE/>
              <w:autoSpaceDN/>
              <w:bidi w:val="0"/>
              <w:adjustRightInd/>
              <w:snapToGrid w:val="0"/>
              <w:spacing w:line="40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28.00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pacing w:line="400" w:lineRule="exact"/>
              <w:rPr>
                <w:rFonts w:hint="eastAsia" w:ascii="Times New Roman" w:hAnsi="Times New Roman" w:eastAsia="宋体" w:cs="宋体"/>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有明确的平衡功能障碍，一个疾病过程支付不超过90天。</w:t>
            </w:r>
          </w:p>
        </w:tc>
      </w:tr>
      <w:tr>
        <w:tblPrEx>
          <w:tblCellMar>
            <w:top w:w="15" w:type="dxa"/>
            <w:left w:w="15" w:type="dxa"/>
            <w:bottom w:w="15" w:type="dxa"/>
            <w:right w:w="15" w:type="dxa"/>
          </w:tblCellMar>
        </w:tblPrEx>
        <w:trPr>
          <w:trHeight w:val="109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6</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MAAX8001</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kern w:val="0"/>
                <w:sz w:val="22"/>
                <w:szCs w:val="22"/>
                <w:lang w:bidi="ar"/>
              </w:rPr>
            </w:pPr>
            <w:r>
              <w:rPr>
                <w:rFonts w:hint="eastAsia" w:ascii="Times New Roman" w:hAnsi="Times New Roman" w:eastAsia="宋体" w:cs="宋体"/>
                <w:color w:val="000000"/>
                <w:kern w:val="0"/>
                <w:sz w:val="22"/>
                <w:szCs w:val="22"/>
                <w:lang w:bidi="ar"/>
              </w:rPr>
              <w:t>表面肌电图</w:t>
            </w:r>
          </w:p>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检查</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采用表面肌电图仪采集患者在某一种特定运动中各组肌群收缩的起止时间，收缩的强度以及不同肌群收缩的顺序情况以及频谱分析特点，进行数据后处理与分析，判断肌肉运动正常与否以及异常发生的原因。人工报告。</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autoSpaceDE/>
              <w:autoSpaceDN/>
              <w:bidi w:val="0"/>
              <w:adjustRightInd/>
              <w:snapToGrid w:val="0"/>
              <w:spacing w:line="40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30.00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pacing w:line="400" w:lineRule="exact"/>
              <w:jc w:val="left"/>
              <w:rPr>
                <w:rFonts w:hint="eastAsia" w:ascii="Times New Roman" w:hAnsi="Times New Roman" w:eastAsia="宋体" w:cs="宋体"/>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有明确的神经肌肉功能障碍，一个疾病过程支付不超过两次。</w:t>
            </w:r>
          </w:p>
        </w:tc>
      </w:tr>
      <w:tr>
        <w:tblPrEx>
          <w:tblCellMar>
            <w:top w:w="15" w:type="dxa"/>
            <w:left w:w="15" w:type="dxa"/>
            <w:bottom w:w="15" w:type="dxa"/>
            <w:right w:w="15" w:type="dxa"/>
          </w:tblCellMar>
        </w:tblPrEx>
        <w:trPr>
          <w:trHeight w:val="9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7</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MBHZX001</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轮椅技能训练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指导患者乘坐轮椅正确的坐姿以及驱动轮椅的正确技术动作、转移动作，进行驱动轮椅快速起动、急停和转弯训练，绕障碍物行走、抬前轮、上下台阶及坡道练等训练。</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18.00 </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45分钟/次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需要长期使用轮椅且能够自行操作的患者，支付不超过30天。</w:t>
            </w:r>
          </w:p>
        </w:tc>
      </w:tr>
      <w:tr>
        <w:tblPrEx>
          <w:tblCellMar>
            <w:top w:w="15" w:type="dxa"/>
            <w:left w:w="15" w:type="dxa"/>
            <w:bottom w:w="15" w:type="dxa"/>
            <w:right w:w="15" w:type="dxa"/>
          </w:tblCellMar>
        </w:tblPrEx>
        <w:trPr>
          <w:trHeight w:val="1276" w:hRule="exac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8</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MBBZX019</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耐力训练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利用康复训练设备与仪器，辅助或指导患者在结合心肺功能训练的前提下，进行全身性的肌肉耐久性训练。</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氧气</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pacing w:line="400" w:lineRule="exact"/>
              <w:jc w:val="left"/>
              <w:rPr>
                <w:rFonts w:hint="eastAsia" w:ascii="Times New Roman" w:hAnsi="Times New Roman" w:eastAsia="宋体" w:cs="宋体"/>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由于疾病或损伤导致的全身运动耐力下降患者，一个疾病过程支付不超过90天。</w:t>
            </w:r>
          </w:p>
        </w:tc>
      </w:tr>
      <w:tr>
        <w:tblPrEx>
          <w:tblCellMar>
            <w:top w:w="15" w:type="dxa"/>
            <w:left w:w="15" w:type="dxa"/>
            <w:bottom w:w="15" w:type="dxa"/>
            <w:right w:w="15" w:type="dxa"/>
          </w:tblCellMar>
        </w:tblPrEx>
        <w:trPr>
          <w:trHeight w:val="1222" w:hRule="exac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9</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MBBX7003</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大关节松动训练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利用不同手法力度，徒手对患者肩、肘、髋及膝关节进行不同方向的被动手法操作训练，扩大关节活动范围训练，缓解疼痛训练。</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25.00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pacing w:line="400" w:lineRule="exact"/>
              <w:jc w:val="left"/>
              <w:rPr>
                <w:rFonts w:hint="eastAsia" w:ascii="Times New Roman" w:hAnsi="Times New Roman" w:eastAsia="宋体" w:cs="宋体"/>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有明确的关节活动障碍，一个疾病过程支付不超过90天。</w:t>
            </w:r>
          </w:p>
        </w:tc>
      </w:tr>
      <w:tr>
        <w:tblPrEx>
          <w:tblCellMar>
            <w:top w:w="15" w:type="dxa"/>
            <w:left w:w="15" w:type="dxa"/>
            <w:bottom w:w="15" w:type="dxa"/>
            <w:right w:w="15" w:type="dxa"/>
          </w:tblCellMar>
        </w:tblPrEx>
        <w:trPr>
          <w:trHeight w:val="1213" w:hRule="exac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10</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MBCWR001</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徒手手功能训练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利用徒手的方法进行的各种手部功能训练或者进行手工艺制作和训练，必要时进行手法治疗或指导。</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支具</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15.00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pacing w:line="400" w:lineRule="exact"/>
              <w:jc w:val="left"/>
              <w:rPr>
                <w:rFonts w:hint="eastAsia" w:ascii="Times New Roman" w:hAnsi="Times New Roman" w:eastAsia="宋体" w:cs="宋体"/>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有明确的手功能障碍，一个疾病过程支付不超过90天。</w:t>
            </w:r>
          </w:p>
        </w:tc>
      </w:tr>
      <w:tr>
        <w:tblPrEx>
          <w:tblCellMar>
            <w:top w:w="15" w:type="dxa"/>
            <w:left w:w="15" w:type="dxa"/>
            <w:bottom w:w="15" w:type="dxa"/>
            <w:right w:w="15" w:type="dxa"/>
          </w:tblCellMar>
        </w:tblPrEx>
        <w:trPr>
          <w:trHeight w:val="100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序号</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项目编码</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名称</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项目内涵</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除外</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内容</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政府指导价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（元）</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计价说明</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医保</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报销属性</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限定支付范围</w:t>
            </w:r>
          </w:p>
        </w:tc>
      </w:tr>
      <w:tr>
        <w:tblPrEx>
          <w:tblCellMar>
            <w:top w:w="15" w:type="dxa"/>
            <w:left w:w="15" w:type="dxa"/>
            <w:bottom w:w="15" w:type="dxa"/>
            <w:right w:w="15" w:type="dxa"/>
          </w:tblCellMar>
        </w:tblPrEx>
        <w:trPr>
          <w:trHeight w:val="100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11</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MBBW6005</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截肢肢体综合训练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通过徒手的方式，对患者假肢安装前后进行身体关节活动度训练，肌力训练，协调功能训练，平衡功能训练，日常生活动作能力综合训练及假肢清理、穿脱动作的训练。不含假肢的制作。</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30.00 </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40分钟/次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甲类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上肢训练支付不超过30天，下肢训练支付不超过20天，髋关节或肩关节离断、高位大腿截肢训练支付不超过90天。</w:t>
            </w:r>
          </w:p>
        </w:tc>
      </w:tr>
      <w:tr>
        <w:tblPrEx>
          <w:tblCellMar>
            <w:top w:w="15" w:type="dxa"/>
            <w:left w:w="15" w:type="dxa"/>
            <w:bottom w:w="15" w:type="dxa"/>
            <w:right w:w="15" w:type="dxa"/>
          </w:tblCellMar>
        </w:tblPrEx>
        <w:trPr>
          <w:trHeight w:val="145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12</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FFA02709</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小儿行为听力测试</w:t>
            </w:r>
          </w:p>
        </w:tc>
        <w:tc>
          <w:tcPr>
            <w:tcW w:w="15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在隔声室适合儿童的轻松游戏环境中，以听力计的耳机或扬声器给予不同强度和不同频率的声音信号进行刺激，在游戏中训练儿童完成测试，由于儿童活泼好动的特点，要求检查人员除了具备听力学知识和临床经验，还要具备良好的沟通能力，测试往往需要多次重复以得到可靠结果，需要测试双耳各5个频率。对于6月龄及以下小龄婴幼儿需结合测试人员对受试儿行为观察以确定其听力情况。</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Times New Roman" w:hAnsi="Times New Roman" w:eastAsia="宋体" w:cs="宋体"/>
                <w:color w:val="FF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30.00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val="0"/>
              <w:spacing w:line="320" w:lineRule="exact"/>
              <w:jc w:val="left"/>
              <w:rPr>
                <w:rFonts w:hint="eastAsia" w:ascii="Times New Roman" w:hAnsi="Times New Roman" w:eastAsia="宋体" w:cs="宋体"/>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6岁以下疑似听力障碍的儿童，由取得听力师或助听器验配师资格并经过小儿听力学培训的人员操作。</w:t>
            </w:r>
          </w:p>
        </w:tc>
      </w:tr>
      <w:tr>
        <w:tblPrEx>
          <w:tblCellMar>
            <w:top w:w="15" w:type="dxa"/>
            <w:left w:w="15" w:type="dxa"/>
            <w:bottom w:w="15" w:type="dxa"/>
            <w:right w:w="15" w:type="dxa"/>
          </w:tblCellMar>
        </w:tblPrEx>
        <w:trPr>
          <w:trHeight w:val="70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13</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FAY04706</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孤独症诊断访谈量表(ADI)测评</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用于诊断儿童孤独症。由经过系统培训的心理师在单独房间对患儿家长进行一对一逐项询问和检查。共93个项目。精神科医师根据评定结果出评定报告。</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val="0"/>
              <w:spacing w:line="320" w:lineRule="exact"/>
              <w:jc w:val="center"/>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30.00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kinsoku/>
              <w:wordWrap/>
              <w:overflowPunct/>
              <w:topLinePunct w:val="0"/>
              <w:autoSpaceDE/>
              <w:autoSpaceDN/>
              <w:bidi w:val="0"/>
              <w:adjustRightInd/>
              <w:snapToGrid w:val="0"/>
              <w:spacing w:line="320" w:lineRule="exact"/>
              <w:jc w:val="left"/>
              <w:rPr>
                <w:rFonts w:hint="eastAsia" w:ascii="Times New Roman" w:hAnsi="Times New Roman" w:eastAsia="宋体" w:cs="宋体"/>
                <w:color w:val="000000"/>
                <w:sz w:val="22"/>
                <w:szCs w:val="22"/>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6岁以下疑似孤独症患儿。</w:t>
            </w:r>
          </w:p>
        </w:tc>
      </w:tr>
      <w:tr>
        <w:tblPrEx>
          <w:tblCellMar>
            <w:top w:w="15" w:type="dxa"/>
            <w:left w:w="15" w:type="dxa"/>
            <w:bottom w:w="15" w:type="dxa"/>
            <w:right w:w="15" w:type="dxa"/>
          </w:tblCellMar>
        </w:tblPrEx>
        <w:trPr>
          <w:trHeight w:val="247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14</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MBCZX004</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日常生活动作训练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对独立生活而每天所必须反复进行的、最基本的一系列身体动作，即进行衣、食、住、行、个人卫生等日常生活的基本动作进行系统的评定，发现存在的问题并将制定相关的训练计划付诸实施的过程。</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自助具</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25.00 </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45分钟/次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甲类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存在日常生活活动能力障碍（ADL）的患者，重度患者支付不超过90天，中度患者支付不超过60天，轻度患者支付不超过30天，每14天训练经功能量表评定后取得明确功能进步才可继续支付。</w:t>
            </w:r>
          </w:p>
        </w:tc>
      </w:tr>
      <w:tr>
        <w:tblPrEx>
          <w:tblCellMar>
            <w:top w:w="15" w:type="dxa"/>
            <w:left w:w="15" w:type="dxa"/>
            <w:bottom w:w="15" w:type="dxa"/>
            <w:right w:w="15" w:type="dxa"/>
          </w:tblCellMar>
        </w:tblPrEx>
        <w:trPr>
          <w:trHeight w:val="14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序号</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项目编码</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名称</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项目内涵</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除外</w:t>
            </w:r>
          </w:p>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内容</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政府指导价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（元）</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计价说明</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医保</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报销属性</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限定支付范围</w:t>
            </w:r>
          </w:p>
        </w:tc>
      </w:tr>
      <w:tr>
        <w:tblPrEx>
          <w:tblCellMar>
            <w:top w:w="15" w:type="dxa"/>
            <w:left w:w="15" w:type="dxa"/>
            <w:bottom w:w="15" w:type="dxa"/>
            <w:right w:w="15" w:type="dxa"/>
          </w:tblCellMar>
        </w:tblPrEx>
        <w:trPr>
          <w:trHeight w:val="14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15</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MBKZX002</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职业功能训练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使用仪器或器械模拟对患者进行与职业功能状态相关的训练，含日常生活中与职业相关的各种运动技能和操作技能的训练。</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20.00 </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45分钟/次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法定就业年龄段且有就业意愿，经过PARQ医学筛查适合进行职业功能训练的患者，支付不超过90天。</w:t>
            </w:r>
          </w:p>
        </w:tc>
      </w:tr>
      <w:tr>
        <w:tblPrEx>
          <w:tblCellMar>
            <w:top w:w="15" w:type="dxa"/>
            <w:left w:w="15" w:type="dxa"/>
            <w:bottom w:w="15" w:type="dxa"/>
            <w:right w:w="15" w:type="dxa"/>
          </w:tblCellMar>
        </w:tblPrEx>
        <w:trPr>
          <w:trHeight w:val="141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16</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MBCZX002</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精神障碍作业疗法训练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应用专业理论和不同的治疗模式对精神障碍的患者进行治疗，患者可以有机会自己选择并积极参与一些有意义符合个人能力和程度以及环境需求的活动。目的是让患者得以重新适应并在其所处的社会文化的环境中生活，选择“适宜”的作业及活动通过有目的的活动实践促使活动功能建立，使生命有意义。</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自助具</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25.00 </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45分钟/次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甲类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40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限精神障碍康复期患者。在精神卫生机构或康复医疗机构，由具有资格的精神卫生专业人员或在其指导下的社工操作，每年支付不超过90天，每天支付不超过一次。</w:t>
            </w:r>
          </w:p>
        </w:tc>
      </w:tr>
      <w:tr>
        <w:tblPrEx>
          <w:tblCellMar>
            <w:top w:w="15" w:type="dxa"/>
            <w:left w:w="15" w:type="dxa"/>
            <w:bottom w:w="15" w:type="dxa"/>
            <w:right w:w="15" w:type="dxa"/>
          </w:tblCellMar>
        </w:tblPrEx>
        <w:trPr>
          <w:trHeight w:val="1331"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17</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MBBZX009</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减重支持系统训练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利用减重支持仪，穿戴悬吊背心，根据其残存的运动功能状况调整气压，并固定气压阀，拉紧悬吊拉扣后，徒手对患者进行被动的、辅助主动的、主动的减重步行训练，平衡功能训练，下肢协调性训练。</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25.00 </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40分钟/次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由神经、肌肉、骨骼疾患导致的独立行走障碍患者，支付不超过30天。</w:t>
            </w:r>
          </w:p>
        </w:tc>
      </w:tr>
      <w:tr>
        <w:tblPrEx>
          <w:tblCellMar>
            <w:top w:w="15" w:type="dxa"/>
            <w:left w:w="15" w:type="dxa"/>
            <w:bottom w:w="15" w:type="dxa"/>
            <w:right w:w="15" w:type="dxa"/>
          </w:tblCellMar>
        </w:tblPrEx>
        <w:trPr>
          <w:trHeight w:val="130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18</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MBBZX010</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电动起立床训练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利用电动起立床，根据病情在不同的角度下，对患者实施被动的站立训练。</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18.00 </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45分钟/次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住院期间，以减少卧床并发症为治疗目的或者以直立行动为康复目标，支付不超过30天。</w:t>
            </w:r>
          </w:p>
        </w:tc>
      </w:tr>
      <w:tr>
        <w:tblPrEx>
          <w:tblCellMar>
            <w:top w:w="15" w:type="dxa"/>
            <w:left w:w="15" w:type="dxa"/>
            <w:bottom w:w="15" w:type="dxa"/>
            <w:right w:w="15" w:type="dxa"/>
          </w:tblCellMar>
        </w:tblPrEx>
        <w:trPr>
          <w:trHeight w:val="106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序号</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项目编码</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名称</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项目内涵</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除外</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内容</w:t>
            </w: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政府指导价</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（元）</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计价说明</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医保</w:t>
            </w:r>
            <w:r>
              <w:rPr>
                <w:rFonts w:hint="eastAsia" w:ascii="Times New Roman" w:hAnsi="Times New Roman" w:eastAsia="方正黑体_GBK" w:cs="方正黑体_GBK"/>
                <w:b w:val="0"/>
                <w:bCs/>
                <w:color w:val="000000"/>
                <w:kern w:val="0"/>
                <w:sz w:val="24"/>
                <w:szCs w:val="24"/>
                <w:lang w:bidi="ar"/>
              </w:rPr>
              <w:br w:type="textWrapping"/>
            </w:r>
            <w:r>
              <w:rPr>
                <w:rFonts w:hint="eastAsia" w:ascii="Times New Roman" w:hAnsi="Times New Roman" w:eastAsia="方正黑体_GBK" w:cs="方正黑体_GBK"/>
                <w:b w:val="0"/>
                <w:bCs/>
                <w:color w:val="000000"/>
                <w:kern w:val="0"/>
                <w:sz w:val="24"/>
                <w:szCs w:val="24"/>
                <w:lang w:bidi="ar"/>
              </w:rPr>
              <w:t>报销属性</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Times New Roman" w:hAnsi="Times New Roman" w:eastAsia="方正黑体_GBK" w:cs="方正黑体_GBK"/>
                <w:b w:val="0"/>
                <w:bCs/>
                <w:color w:val="000000"/>
                <w:kern w:val="0"/>
                <w:sz w:val="24"/>
                <w:szCs w:val="24"/>
                <w:lang w:bidi="ar"/>
              </w:rPr>
            </w:pPr>
            <w:r>
              <w:rPr>
                <w:rFonts w:hint="eastAsia" w:ascii="Times New Roman" w:hAnsi="Times New Roman" w:eastAsia="方正黑体_GBK" w:cs="方正黑体_GBK"/>
                <w:b w:val="0"/>
                <w:bCs/>
                <w:color w:val="000000"/>
                <w:kern w:val="0"/>
                <w:sz w:val="24"/>
                <w:szCs w:val="24"/>
                <w:lang w:bidi="ar"/>
              </w:rPr>
              <w:t>限定支付范围</w:t>
            </w:r>
          </w:p>
        </w:tc>
      </w:tr>
      <w:tr>
        <w:tblPrEx>
          <w:tblCellMar>
            <w:top w:w="15" w:type="dxa"/>
            <w:left w:w="15" w:type="dxa"/>
            <w:bottom w:w="15" w:type="dxa"/>
            <w:right w:w="15" w:type="dxa"/>
          </w:tblCellMar>
        </w:tblPrEx>
        <w:trPr>
          <w:trHeight w:val="106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19</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MBDZX006</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儿童听力障碍语言训练</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利用乐器、听觉训练仪、图片、实物等对患儿的听觉能力和言语表达能力进行训练。</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20.00 </w:t>
            </w:r>
          </w:p>
        </w:tc>
        <w:tc>
          <w:tcPr>
            <w:tcW w:w="2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30分钟/次</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6岁以下听力障碍儿童，由取得听觉口语师资格的人员开展，以个别化训练为主要方式，每周最多支付一次，支付不超过一年。</w:t>
            </w:r>
          </w:p>
        </w:tc>
      </w:tr>
      <w:tr>
        <w:tblPrEx>
          <w:tblCellMar>
            <w:top w:w="15" w:type="dxa"/>
            <w:left w:w="15" w:type="dxa"/>
            <w:bottom w:w="15" w:type="dxa"/>
            <w:right w:w="15" w:type="dxa"/>
          </w:tblCellMar>
        </w:tblPrEx>
        <w:trPr>
          <w:trHeight w:val="850" w:hRule="exact"/>
        </w:trPr>
        <w:tc>
          <w:tcPr>
            <w:tcW w:w="2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20</w:t>
            </w: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MAGAZ001</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言语能力筛查</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使用失语症筛查表、构音障碍筛查表、儿童言语障碍筛查表、言语失用检查表对患者进行言语测查，人工报告。</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宋体" w:cs="宋体"/>
                <w:color w:val="000000"/>
                <w:sz w:val="20"/>
              </w:rPr>
            </w:pP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乙类</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疑似言语功能障碍患者，不包括言语功能不能恢复的患者，一个疾病过程支付不超过两次。</w:t>
            </w:r>
          </w:p>
        </w:tc>
      </w:tr>
      <w:tr>
        <w:tblPrEx>
          <w:tblCellMar>
            <w:top w:w="15" w:type="dxa"/>
            <w:left w:w="15" w:type="dxa"/>
            <w:bottom w:w="15" w:type="dxa"/>
            <w:right w:w="15" w:type="dxa"/>
          </w:tblCellMar>
        </w:tblPrEx>
        <w:trPr>
          <w:trHeight w:val="850" w:hRule="exac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宋体" w:cs="宋体"/>
                <w:color w:val="000000"/>
                <w:sz w:val="22"/>
                <w:szCs w:val="22"/>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MAGAZ001a</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一般失语症检查</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使用失语症筛查表对患者进行言语测查，人工报告。</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宋体" w:cs="宋体"/>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s="宋体"/>
                <w:color w:val="000000"/>
                <w:sz w:val="22"/>
                <w:szCs w:val="22"/>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imes New Roman" w:hAnsi="Times New Roman" w:eastAsia="宋体" w:cs="宋体"/>
                <w:color w:val="000000"/>
                <w:sz w:val="18"/>
                <w:szCs w:val="18"/>
              </w:rPr>
            </w:pPr>
          </w:p>
        </w:tc>
      </w:tr>
      <w:tr>
        <w:tblPrEx>
          <w:tblCellMar>
            <w:top w:w="15" w:type="dxa"/>
            <w:left w:w="15" w:type="dxa"/>
            <w:bottom w:w="15" w:type="dxa"/>
            <w:right w:w="15" w:type="dxa"/>
          </w:tblCellMar>
        </w:tblPrEx>
        <w:trPr>
          <w:trHeight w:val="850" w:hRule="exac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宋体" w:cs="宋体"/>
                <w:color w:val="000000"/>
                <w:sz w:val="22"/>
                <w:szCs w:val="22"/>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MAGAZ001b</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构音障碍检查</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使用构音障碍筛查表对患者进行言语测查，人工报告。</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宋体" w:cs="宋体"/>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s="宋体"/>
                <w:color w:val="000000"/>
                <w:sz w:val="22"/>
                <w:szCs w:val="22"/>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imes New Roman" w:hAnsi="Times New Roman" w:eastAsia="宋体" w:cs="宋体"/>
                <w:color w:val="000000"/>
                <w:sz w:val="18"/>
                <w:szCs w:val="18"/>
              </w:rPr>
            </w:pPr>
          </w:p>
        </w:tc>
      </w:tr>
      <w:tr>
        <w:tblPrEx>
          <w:tblCellMar>
            <w:top w:w="15" w:type="dxa"/>
            <w:left w:w="15" w:type="dxa"/>
            <w:bottom w:w="15" w:type="dxa"/>
            <w:right w:w="15" w:type="dxa"/>
          </w:tblCellMar>
        </w:tblPrEx>
        <w:trPr>
          <w:trHeight w:val="850" w:hRule="exact"/>
        </w:trPr>
        <w:tc>
          <w:tcPr>
            <w:tcW w:w="2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宋体" w:cs="宋体"/>
                <w:color w:val="000000"/>
                <w:sz w:val="22"/>
                <w:szCs w:val="22"/>
              </w:rPr>
            </w:pPr>
          </w:p>
        </w:tc>
        <w:tc>
          <w:tcPr>
            <w:tcW w:w="52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MAGAZ001c</w:t>
            </w:r>
          </w:p>
        </w:tc>
        <w:tc>
          <w:tcPr>
            <w:tcW w:w="4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言语失用检查</w:t>
            </w:r>
          </w:p>
        </w:tc>
        <w:tc>
          <w:tcPr>
            <w:tcW w:w="1504" w:type="pct"/>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imes New Roman" w:hAnsi="Times New Roman" w:eastAsia="宋体" w:cs="宋体"/>
                <w:color w:val="000000"/>
                <w:sz w:val="18"/>
                <w:szCs w:val="18"/>
              </w:rPr>
            </w:pPr>
            <w:r>
              <w:rPr>
                <w:rFonts w:hint="eastAsia" w:ascii="Times New Roman" w:hAnsi="Times New Roman" w:eastAsia="宋体" w:cs="宋体"/>
                <w:color w:val="000000"/>
                <w:kern w:val="0"/>
                <w:sz w:val="18"/>
                <w:szCs w:val="18"/>
                <w:lang w:bidi="ar"/>
              </w:rPr>
              <w:t>使用言语失用检查表对患者进行言语测查，人工报告。</w:t>
            </w:r>
          </w:p>
        </w:tc>
        <w:tc>
          <w:tcPr>
            <w:tcW w:w="296" w:type="pct"/>
            <w:tcBorders>
              <w:top w:val="single" w:color="000000" w:sz="4" w:space="0"/>
              <w:left w:val="single" w:color="000000" w:sz="4" w:space="0"/>
              <w:bottom w:val="single" w:color="000000" w:sz="4" w:space="0"/>
              <w:right w:val="single" w:color="000000" w:sz="4" w:space="0"/>
            </w:tcBorders>
            <w:shd w:val="clear" w:color="auto" w:fill="FFFFFF"/>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宋体" w:cs="宋体"/>
                <w:color w:val="000000"/>
                <w:sz w:val="22"/>
                <w:szCs w:val="22"/>
              </w:rPr>
            </w:pPr>
          </w:p>
        </w:tc>
        <w:tc>
          <w:tcPr>
            <w:tcW w:w="2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 xml:space="preserve">20.00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rPr>
                <w:rFonts w:hint="eastAsia" w:ascii="Times New Roman" w:hAnsi="Times New Roman" w:eastAsia="宋体" w:cs="宋体"/>
                <w:color w:val="000000"/>
                <w:sz w:val="22"/>
                <w:szCs w:val="22"/>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Times New Roman" w:hAnsi="Times New Roman" w:eastAsia="宋体" w:cs="宋体"/>
                <w:color w:val="000000"/>
                <w:sz w:val="22"/>
                <w:szCs w:val="22"/>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kinsoku/>
              <w:wordWrap/>
              <w:overflowPunct/>
              <w:topLinePunct w:val="0"/>
              <w:autoSpaceDE/>
              <w:autoSpaceDN/>
              <w:bidi w:val="0"/>
              <w:adjustRightInd/>
              <w:snapToGrid/>
              <w:spacing w:line="360" w:lineRule="exact"/>
              <w:jc w:val="left"/>
              <w:rPr>
                <w:rFonts w:hint="eastAsia" w:ascii="Times New Roman" w:hAnsi="Times New Roman" w:eastAsia="宋体" w:cs="宋体"/>
                <w:color w:val="000000"/>
                <w:sz w:val="18"/>
                <w:szCs w:val="18"/>
              </w:rPr>
            </w:pPr>
          </w:p>
        </w:tc>
      </w:tr>
      <w:tr>
        <w:tblPrEx>
          <w:tblCellMar>
            <w:top w:w="15" w:type="dxa"/>
            <w:left w:w="15" w:type="dxa"/>
            <w:bottom w:w="15" w:type="dxa"/>
            <w:right w:w="15" w:type="dxa"/>
          </w:tblCellMar>
        </w:tblPrEx>
        <w:trPr>
          <w:trHeight w:val="271" w:hRule="atLeast"/>
        </w:trPr>
        <w:tc>
          <w:tcPr>
            <w:tcW w:w="227" w:type="pct"/>
            <w:vAlign w:val="center"/>
          </w:tcPr>
          <w:p>
            <w:pPr>
              <w:rPr>
                <w:rFonts w:hint="eastAsia" w:ascii="Times New Roman" w:hAnsi="Times New Roman" w:eastAsia="宋体" w:cs="宋体"/>
                <w:color w:val="000000"/>
                <w:sz w:val="22"/>
                <w:szCs w:val="22"/>
              </w:rPr>
            </w:pPr>
          </w:p>
        </w:tc>
        <w:tc>
          <w:tcPr>
            <w:tcW w:w="524" w:type="pct"/>
            <w:gridSpan w:val="2"/>
            <w:vAlign w:val="center"/>
          </w:tcPr>
          <w:p>
            <w:pPr>
              <w:rPr>
                <w:rFonts w:hint="eastAsia" w:ascii="Times New Roman" w:hAnsi="Times New Roman" w:eastAsia="宋体" w:cs="宋体"/>
                <w:color w:val="000000"/>
                <w:sz w:val="22"/>
                <w:szCs w:val="22"/>
              </w:rPr>
            </w:pPr>
          </w:p>
        </w:tc>
        <w:tc>
          <w:tcPr>
            <w:tcW w:w="463" w:type="pct"/>
            <w:vAlign w:val="center"/>
          </w:tcPr>
          <w:p>
            <w:pPr>
              <w:rPr>
                <w:rFonts w:hint="eastAsia" w:ascii="Times New Roman" w:hAnsi="Times New Roman" w:eastAsia="宋体" w:cs="宋体"/>
                <w:color w:val="000000"/>
                <w:sz w:val="22"/>
                <w:szCs w:val="22"/>
              </w:rPr>
            </w:pPr>
          </w:p>
        </w:tc>
        <w:tc>
          <w:tcPr>
            <w:tcW w:w="1504" w:type="pct"/>
            <w:vAlign w:val="center"/>
          </w:tcPr>
          <w:p>
            <w:pPr>
              <w:rPr>
                <w:rFonts w:hint="eastAsia" w:ascii="Times New Roman" w:hAnsi="Times New Roman" w:eastAsia="宋体" w:cs="宋体"/>
                <w:color w:val="000000"/>
                <w:sz w:val="22"/>
                <w:szCs w:val="22"/>
              </w:rPr>
            </w:pPr>
          </w:p>
        </w:tc>
        <w:tc>
          <w:tcPr>
            <w:tcW w:w="296" w:type="pct"/>
            <w:vAlign w:val="center"/>
          </w:tcPr>
          <w:p>
            <w:pPr>
              <w:rPr>
                <w:rFonts w:hint="eastAsia" w:ascii="Times New Roman" w:hAnsi="Times New Roman" w:eastAsia="宋体" w:cs="宋体"/>
                <w:color w:val="000000"/>
                <w:sz w:val="22"/>
                <w:szCs w:val="22"/>
              </w:rPr>
            </w:pPr>
          </w:p>
        </w:tc>
        <w:tc>
          <w:tcPr>
            <w:tcW w:w="296" w:type="pct"/>
            <w:vAlign w:val="center"/>
          </w:tcPr>
          <w:p>
            <w:pPr>
              <w:rPr>
                <w:rFonts w:hint="eastAsia" w:ascii="Times New Roman" w:hAnsi="Times New Roman" w:eastAsia="宋体" w:cs="宋体"/>
                <w:color w:val="000000"/>
                <w:sz w:val="22"/>
                <w:szCs w:val="22"/>
              </w:rPr>
            </w:pPr>
          </w:p>
        </w:tc>
        <w:tc>
          <w:tcPr>
            <w:tcW w:w="358" w:type="pct"/>
            <w:vAlign w:val="center"/>
          </w:tcPr>
          <w:p>
            <w:pPr>
              <w:rPr>
                <w:rFonts w:hint="eastAsia" w:ascii="Times New Roman" w:hAnsi="Times New Roman" w:eastAsia="宋体" w:cs="宋体"/>
                <w:color w:val="000000"/>
                <w:sz w:val="22"/>
                <w:szCs w:val="22"/>
              </w:rPr>
            </w:pPr>
          </w:p>
        </w:tc>
        <w:tc>
          <w:tcPr>
            <w:tcW w:w="289" w:type="pct"/>
            <w:vAlign w:val="center"/>
          </w:tcPr>
          <w:p>
            <w:pPr>
              <w:rPr>
                <w:rFonts w:hint="eastAsia" w:ascii="Times New Roman" w:hAnsi="Times New Roman" w:eastAsia="宋体" w:cs="宋体"/>
                <w:color w:val="000000"/>
                <w:sz w:val="22"/>
                <w:szCs w:val="22"/>
              </w:rPr>
            </w:pPr>
          </w:p>
        </w:tc>
        <w:tc>
          <w:tcPr>
            <w:tcW w:w="405" w:type="pct"/>
            <w:vAlign w:val="center"/>
          </w:tcPr>
          <w:p>
            <w:pPr>
              <w:rPr>
                <w:rFonts w:hint="eastAsia" w:ascii="Times New Roman" w:hAnsi="Times New Roman" w:eastAsia="宋体" w:cs="宋体"/>
                <w:color w:val="000000"/>
                <w:sz w:val="22"/>
                <w:szCs w:val="22"/>
              </w:rPr>
            </w:pPr>
          </w:p>
        </w:tc>
        <w:tc>
          <w:tcPr>
            <w:tcW w:w="631" w:type="pct"/>
            <w:vAlign w:val="center"/>
          </w:tcPr>
          <w:p>
            <w:pPr>
              <w:rPr>
                <w:rFonts w:hint="eastAsia" w:ascii="Times New Roman" w:hAnsi="Times New Roman" w:eastAsia="宋体" w:cs="宋体"/>
                <w:color w:val="000000"/>
                <w:sz w:val="22"/>
                <w:szCs w:val="22"/>
              </w:rPr>
            </w:pPr>
          </w:p>
        </w:tc>
      </w:tr>
    </w:tbl>
    <w:p>
      <w:pPr>
        <w:widowControl/>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 xml:space="preserve">   注：本表所列医疗服务项目价格均为二级医疗机构最高收费标准，三级医疗机构可在上浮10%以内执行,一级公立医院</w:t>
      </w:r>
    </w:p>
    <w:p>
      <w:pPr>
        <w:widowControl/>
        <w:ind w:firstLine="748" w:firstLineChars="340"/>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下浮5%，基层医疗机构下浮10%；项目的“计价说明”栏有说明的，按项目说明执行。</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 xml:space="preserve">    </w:t>
      </w:r>
    </w:p>
    <w:p>
      <w:pPr>
        <w:rPr>
          <w:rFonts w:hint="eastAsia" w:ascii="宋体" w:hAnsi="宋体" w:eastAsia="宋体" w:cs="宋体"/>
          <w:color w:val="000000"/>
          <w:sz w:val="22"/>
          <w:szCs w:val="22"/>
        </w:rPr>
      </w:pPr>
    </w:p>
    <w:p>
      <w:pPr>
        <w:rPr>
          <w:rFonts w:hint="eastAsia" w:ascii="宋体" w:hAnsi="宋体" w:eastAsia="宋体" w:cs="宋体"/>
          <w:color w:val="000000"/>
          <w:sz w:val="22"/>
          <w:szCs w:val="22"/>
        </w:rPr>
      </w:pPr>
    </w:p>
    <w:p>
      <w:pPr>
        <w:rPr>
          <w:rFonts w:hint="eastAsia" w:ascii="宋体" w:hAnsi="宋体" w:eastAsia="宋体" w:cs="宋体"/>
          <w:color w:val="000000"/>
          <w:sz w:val="22"/>
          <w:szCs w:val="22"/>
        </w:rPr>
      </w:pPr>
    </w:p>
    <w:p>
      <w:pPr>
        <w:rPr>
          <w:rFonts w:hint="eastAsia" w:ascii="宋体" w:hAnsi="宋体" w:eastAsia="宋体" w:cs="宋体"/>
          <w:color w:val="000000"/>
          <w:sz w:val="22"/>
          <w:szCs w:val="22"/>
        </w:rPr>
        <w:sectPr>
          <w:footerReference r:id="rId6" w:type="default"/>
          <w:pgSz w:w="16838" w:h="11906" w:orient="landscape"/>
          <w:pgMar w:top="1587" w:right="2098" w:bottom="1474" w:left="1984" w:header="850" w:footer="992" w:gutter="0"/>
          <w:pgNumType w:fmt="decimal"/>
          <w:cols w:space="0" w:num="1"/>
          <w:rtlGutter w:val="0"/>
          <w:docGrid w:type="lines" w:linePitch="466" w:charSpace="0"/>
        </w:sectPr>
      </w:pPr>
      <w:bookmarkStart w:id="0" w:name="_GoBack"/>
      <w:bookmarkEnd w:id="0"/>
    </w:p>
    <w:tbl>
      <w:tblPr>
        <w:tblStyle w:val="5"/>
        <w:tblW w:w="13695" w:type="dxa"/>
        <w:tblInd w:w="0" w:type="dxa"/>
        <w:tblLayout w:type="fixed"/>
        <w:tblCellMar>
          <w:top w:w="15" w:type="dxa"/>
          <w:left w:w="15" w:type="dxa"/>
          <w:bottom w:w="15" w:type="dxa"/>
          <w:right w:w="15" w:type="dxa"/>
        </w:tblCellMar>
      </w:tblPr>
      <w:tblGrid>
        <w:gridCol w:w="1741"/>
        <w:gridCol w:w="2986"/>
        <w:gridCol w:w="4336"/>
        <w:gridCol w:w="2472"/>
        <w:gridCol w:w="1080"/>
        <w:gridCol w:w="1080"/>
      </w:tblGrid>
      <w:tr>
        <w:tblPrEx>
          <w:tblCellMar>
            <w:top w:w="15" w:type="dxa"/>
            <w:left w:w="15" w:type="dxa"/>
            <w:bottom w:w="15" w:type="dxa"/>
            <w:right w:w="15" w:type="dxa"/>
          </w:tblCellMar>
        </w:tblPrEx>
        <w:trPr>
          <w:trHeight w:val="525" w:hRule="atLeast"/>
        </w:trPr>
        <w:tc>
          <w:tcPr>
            <w:tcW w:w="1741" w:type="dxa"/>
            <w:vAlign w:val="center"/>
          </w:tcPr>
          <w:p>
            <w:pPr>
              <w:keepNext w:val="0"/>
              <w:keepLines w:val="0"/>
              <w:pageBreakBefore w:val="0"/>
              <w:widowControl/>
              <w:kinsoku/>
              <w:wordWrap/>
              <w:overflowPunct/>
              <w:topLinePunct w:val="0"/>
              <w:autoSpaceDE/>
              <w:autoSpaceDN/>
              <w:bidi w:val="0"/>
              <w:adjustRightInd/>
              <w:snapToGrid/>
              <w:spacing w:line="600" w:lineRule="exact"/>
              <w:textAlignment w:val="center"/>
              <w:rPr>
                <w:rFonts w:ascii="Times New Roman" w:hAnsi="Times New Roman" w:eastAsia="方正黑体_GBK" w:cs="方正黑体_GBK"/>
                <w:color w:val="000000"/>
                <w:sz w:val="24"/>
                <w:szCs w:val="24"/>
              </w:rPr>
            </w:pPr>
            <w:r>
              <w:rPr>
                <w:rFonts w:hint="eastAsia" w:ascii="Times New Roman" w:hAnsi="Times New Roman" w:eastAsia="方正黑体_GBK" w:cs="方正黑体_GBK"/>
                <w:color w:val="000000"/>
                <w:kern w:val="0"/>
                <w:sz w:val="32"/>
                <w:szCs w:val="32"/>
                <w:lang w:bidi="ar"/>
              </w:rPr>
              <w:t>附件2</w:t>
            </w:r>
          </w:p>
        </w:tc>
        <w:tc>
          <w:tcPr>
            <w:tcW w:w="2986" w:type="dxa"/>
            <w:vAlign w:val="center"/>
          </w:tcPr>
          <w:p>
            <w:pPr>
              <w:rPr>
                <w:rFonts w:hint="eastAsia" w:ascii="Times New Roman" w:hAnsi="Times New Roman" w:eastAsia="方正黑体_GBK" w:cs="方正黑体_GBK"/>
                <w:color w:val="000000"/>
                <w:sz w:val="28"/>
                <w:szCs w:val="28"/>
              </w:rPr>
            </w:pPr>
          </w:p>
        </w:tc>
        <w:tc>
          <w:tcPr>
            <w:tcW w:w="4336" w:type="dxa"/>
            <w:vAlign w:val="center"/>
          </w:tcPr>
          <w:p>
            <w:pPr>
              <w:rPr>
                <w:rFonts w:hint="eastAsia" w:ascii="Times New Roman" w:hAnsi="Times New Roman" w:eastAsia="方正黑体_GBK" w:cs="方正黑体_GBK"/>
                <w:color w:val="000000"/>
                <w:sz w:val="28"/>
                <w:szCs w:val="28"/>
              </w:rPr>
            </w:pP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45" w:hRule="atLeast"/>
        </w:trPr>
        <w:tc>
          <w:tcPr>
            <w:tcW w:w="9063" w:type="dxa"/>
            <w:gridSpan w:val="3"/>
            <w:shd w:val="clear" w:color="auto" w:fill="FFFFFF"/>
            <w:vAlign w:val="center"/>
          </w:tcPr>
          <w:p>
            <w:pPr>
              <w:widowControl/>
              <w:jc w:val="center"/>
              <w:textAlignment w:val="center"/>
              <w:rPr>
                <w:rFonts w:hint="eastAsia" w:ascii="方正小标宋_GBK" w:hAnsi="方正小标宋_GBK" w:eastAsia="方正小标宋_GBK" w:cs="方正小标宋_GBK"/>
                <w:color w:val="000000"/>
                <w:sz w:val="31"/>
                <w:szCs w:val="31"/>
              </w:rPr>
            </w:pPr>
            <w:r>
              <w:rPr>
                <w:rFonts w:hint="eastAsia" w:ascii="方正小标宋_GBK" w:hAnsi="方正小标宋_GBK" w:eastAsia="方正小标宋_GBK" w:cs="方正小标宋_GBK"/>
                <w:color w:val="000000"/>
                <w:kern w:val="0"/>
                <w:sz w:val="44"/>
                <w:szCs w:val="44"/>
                <w:lang w:bidi="ar"/>
              </w:rPr>
              <w:t>不再执行康复评定等12项医疗服务价格项目表</w:t>
            </w:r>
          </w:p>
        </w:tc>
        <w:tc>
          <w:tcPr>
            <w:tcW w:w="2472" w:type="dxa"/>
            <w:vAlign w:val="center"/>
          </w:tcPr>
          <w:p>
            <w:pPr>
              <w:rPr>
                <w:rFonts w:hint="eastAsia" w:ascii="方正小标宋_GBK" w:hAnsi="方正小标宋_GBK" w:eastAsia="方正小标宋_GBK" w:cs="方正小标宋_GBK"/>
                <w:color w:val="000000"/>
                <w:sz w:val="22"/>
                <w:szCs w:val="22"/>
              </w:rPr>
            </w:pPr>
          </w:p>
        </w:tc>
        <w:tc>
          <w:tcPr>
            <w:tcW w:w="1080" w:type="dxa"/>
            <w:vAlign w:val="center"/>
          </w:tcPr>
          <w:p>
            <w:pPr>
              <w:rPr>
                <w:rFonts w:hint="eastAsia" w:ascii="方正小标宋_GBK" w:hAnsi="方正小标宋_GBK" w:eastAsia="方正小标宋_GBK" w:cs="方正小标宋_GBK"/>
                <w:color w:val="000000"/>
                <w:sz w:val="22"/>
                <w:szCs w:val="22"/>
              </w:rPr>
            </w:pPr>
          </w:p>
        </w:tc>
        <w:tc>
          <w:tcPr>
            <w:tcW w:w="1080" w:type="dxa"/>
            <w:vAlign w:val="center"/>
          </w:tcPr>
          <w:p>
            <w:pPr>
              <w:rPr>
                <w:rFonts w:hint="eastAsia" w:ascii="方正小标宋_GBK" w:hAnsi="方正小标宋_GBK" w:eastAsia="方正小标宋_GBK" w:cs="方正小标宋_GBK"/>
                <w:color w:val="000000"/>
                <w:sz w:val="22"/>
                <w:szCs w:val="22"/>
              </w:rPr>
            </w:pPr>
          </w:p>
        </w:tc>
      </w:tr>
      <w:tr>
        <w:tblPrEx>
          <w:tblCellMar>
            <w:top w:w="15" w:type="dxa"/>
            <w:left w:w="15" w:type="dxa"/>
            <w:bottom w:w="15" w:type="dxa"/>
            <w:right w:w="15" w:type="dxa"/>
          </w:tblCellMar>
        </w:tblPrEx>
        <w:trPr>
          <w:trHeight w:val="66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序号</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编码</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_GBK" w:hAnsi="方正黑体_GBK" w:eastAsia="方正黑体_GBK" w:cs="方正黑体_GBK"/>
                <w:b w:val="0"/>
                <w:bCs/>
                <w:color w:val="000000"/>
                <w:sz w:val="24"/>
                <w:szCs w:val="24"/>
              </w:rPr>
            </w:pPr>
            <w:r>
              <w:rPr>
                <w:rFonts w:hint="eastAsia" w:ascii="方正黑体_GBK" w:hAnsi="方正黑体_GBK" w:eastAsia="方正黑体_GBK" w:cs="方正黑体_GBK"/>
                <w:b w:val="0"/>
                <w:bCs/>
                <w:color w:val="000000"/>
                <w:kern w:val="0"/>
                <w:sz w:val="24"/>
                <w:szCs w:val="24"/>
                <w:lang w:bidi="ar"/>
              </w:rPr>
              <w:t>项目名称</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1</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340200039</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康复评定</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2</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340200011</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吞咽功能障碍评定</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340200005.20</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手功能评定（仪器）</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4</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310401022.20</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平衡试验（视动试验）</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宋体"/>
                <w:color w:val="000000"/>
                <w:sz w:val="24"/>
                <w:szCs w:val="24"/>
              </w:rPr>
            </w:pP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310401022.30</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平衡试验（旋转试验）</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5</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340200027</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有氧训练</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6</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340200026.20</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关节松动训练（大关节松动训练）</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7</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311501003f</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精神科C类量表测查</w:t>
            </w:r>
            <w:r>
              <w:rPr>
                <w:rFonts w:hint="eastAsia" w:ascii="Times New Roman" w:hAnsi="Times New Roman" w:eastAsia="宋体" w:cs="宋体"/>
                <w:color w:val="000000"/>
                <w:kern w:val="0"/>
                <w:sz w:val="24"/>
                <w:szCs w:val="24"/>
                <w:lang w:bidi="ar"/>
              </w:rPr>
              <w:br w:type="textWrapping"/>
            </w:r>
            <w:r>
              <w:rPr>
                <w:rFonts w:hint="eastAsia" w:ascii="Times New Roman" w:hAnsi="Times New Roman" w:eastAsia="宋体" w:cs="宋体"/>
                <w:color w:val="000000"/>
                <w:kern w:val="0"/>
                <w:sz w:val="24"/>
                <w:szCs w:val="24"/>
                <w:lang w:bidi="ar"/>
              </w:rPr>
              <w:t>（成人孤独症诊断量表（ADI））</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8</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340200032</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职业功能训练</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9</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340200021</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减重支持系统训练</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10</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340200023</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电动起立床训练</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11</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340200035</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儿童听力障碍语言训练</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12</w:t>
            </w: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340200008</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言语能力评定</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宋体"/>
                <w:color w:val="000000"/>
                <w:sz w:val="24"/>
                <w:szCs w:val="24"/>
              </w:rPr>
            </w:pP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340200008.10</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言语能力评定（一般失语症检查）</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r>
        <w:tblPrEx>
          <w:tblCellMar>
            <w:top w:w="15" w:type="dxa"/>
            <w:left w:w="15" w:type="dxa"/>
            <w:bottom w:w="15" w:type="dxa"/>
            <w:right w:w="15" w:type="dxa"/>
          </w:tblCellMar>
        </w:tblPrEx>
        <w:trPr>
          <w:trHeight w:val="600" w:hRule="atLeast"/>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宋体"/>
                <w:color w:val="000000"/>
                <w:sz w:val="24"/>
                <w:szCs w:val="24"/>
              </w:rPr>
            </w:pP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340200008.20</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言语能力评定（构音障碍检查）</w:t>
            </w:r>
          </w:p>
        </w:tc>
        <w:tc>
          <w:tcPr>
            <w:tcW w:w="2472" w:type="dxa"/>
            <w:vAlign w:val="center"/>
          </w:tcPr>
          <w:p>
            <w:pPr>
              <w:rPr>
                <w:rFonts w:hint="eastAsia" w:ascii="Times New Roman" w:hAnsi="Times New Roman" w:eastAsia="宋体" w:cs="宋体"/>
                <w:color w:val="000000"/>
                <w:sz w:val="22"/>
                <w:szCs w:val="22"/>
              </w:rPr>
            </w:pPr>
          </w:p>
        </w:tc>
        <w:tc>
          <w:tcPr>
            <w:tcW w:w="1080" w:type="dxa"/>
          </w:tcPr>
          <w:p>
            <w:pPr>
              <w:jc w:val="left"/>
              <w:rPr>
                <w:rFonts w:hint="eastAsia" w:ascii="Times New Roman" w:hAnsi="Times New Roman" w:eastAsia="宋体" w:cs="宋体"/>
                <w:color w:val="000000"/>
                <w:sz w:val="18"/>
                <w:szCs w:val="18"/>
              </w:rPr>
            </w:pPr>
          </w:p>
        </w:tc>
        <w:tc>
          <w:tcPr>
            <w:tcW w:w="1080" w:type="dxa"/>
          </w:tcPr>
          <w:p>
            <w:pPr>
              <w:jc w:val="left"/>
              <w:rPr>
                <w:rFonts w:hint="eastAsia" w:ascii="Times New Roman" w:hAnsi="Times New Roman" w:eastAsia="宋体" w:cs="宋体"/>
                <w:color w:val="000000"/>
                <w:sz w:val="18"/>
                <w:szCs w:val="18"/>
              </w:rPr>
            </w:pPr>
          </w:p>
        </w:tc>
      </w:tr>
      <w:tr>
        <w:tblPrEx>
          <w:tblCellMar>
            <w:top w:w="15" w:type="dxa"/>
            <w:left w:w="15" w:type="dxa"/>
            <w:bottom w:w="15" w:type="dxa"/>
            <w:right w:w="15" w:type="dxa"/>
          </w:tblCellMar>
        </w:tblPrEx>
        <w:trPr>
          <w:trHeight w:val="600" w:hRule="atLeast"/>
        </w:trPr>
        <w:tc>
          <w:tcPr>
            <w:tcW w:w="174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rPr>
                <w:rFonts w:hint="eastAsia" w:ascii="Times New Roman" w:hAnsi="Times New Roman" w:eastAsia="宋体" w:cs="宋体"/>
                <w:color w:val="000000"/>
                <w:sz w:val="24"/>
                <w:szCs w:val="24"/>
              </w:rPr>
            </w:pPr>
          </w:p>
        </w:tc>
        <w:tc>
          <w:tcPr>
            <w:tcW w:w="29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340200008.30</w:t>
            </w:r>
          </w:p>
        </w:tc>
        <w:tc>
          <w:tcPr>
            <w:tcW w:w="43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Times New Roman" w:hAnsi="Times New Roman" w:eastAsia="宋体" w:cs="宋体"/>
                <w:color w:val="000000"/>
                <w:sz w:val="24"/>
                <w:szCs w:val="24"/>
              </w:rPr>
            </w:pPr>
            <w:r>
              <w:rPr>
                <w:rFonts w:hint="eastAsia" w:ascii="Times New Roman" w:hAnsi="Times New Roman" w:eastAsia="宋体" w:cs="宋体"/>
                <w:color w:val="000000"/>
                <w:kern w:val="0"/>
                <w:sz w:val="24"/>
                <w:szCs w:val="24"/>
                <w:lang w:bidi="ar"/>
              </w:rPr>
              <w:t>言语能力评定（言语失用检查）</w:t>
            </w:r>
          </w:p>
        </w:tc>
        <w:tc>
          <w:tcPr>
            <w:tcW w:w="2472"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c>
          <w:tcPr>
            <w:tcW w:w="1080" w:type="dxa"/>
            <w:vAlign w:val="center"/>
          </w:tcPr>
          <w:p>
            <w:pPr>
              <w:rPr>
                <w:rFonts w:hint="eastAsia" w:ascii="Times New Roman" w:hAnsi="Times New Roman" w:eastAsia="宋体" w:cs="宋体"/>
                <w:color w:val="000000"/>
                <w:sz w:val="22"/>
                <w:szCs w:val="22"/>
              </w:rPr>
            </w:pPr>
          </w:p>
        </w:tc>
      </w:tr>
    </w:tbl>
    <w:p>
      <w:pPr>
        <w:ind w:right="24"/>
        <w:rPr>
          <w:rFonts w:eastAsiaTheme="minorEastAsia"/>
          <w:vanish/>
        </w:rPr>
      </w:pPr>
    </w:p>
    <w:p>
      <w:pPr>
        <w:ind w:right="24"/>
        <w:rPr>
          <w:rFonts w:eastAsiaTheme="minorEastAsia"/>
          <w:vanish/>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rPr>
          <w:rFonts w:eastAsiaTheme="minorEastAsia"/>
          <w:vanish/>
        </w:rPr>
      </w:pPr>
    </w:p>
    <w:sectPr>
      <w:headerReference r:id="rId7" w:type="default"/>
      <w:footerReference r:id="rId8" w:type="default"/>
      <w:pgSz w:w="11906" w:h="16838"/>
      <w:pgMar w:top="2098" w:right="1474" w:bottom="1984" w:left="1587" w:header="850" w:footer="992" w:gutter="0"/>
      <w:pgNumType w:fmt="decimal"/>
      <w:cols w:space="0" w:num="1"/>
      <w:rtlGutter w:val="0"/>
      <w:docGrid w:type="lines" w:linePitch="4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eastAsia="宋体"/>
        <w:sz w:val="28"/>
        <w:szCs w:val="2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-266700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1pt;height:144pt;width:144pt;mso-position-horizontal:outside;mso-position-horizontal-relative:margin;mso-wrap-style:none;z-index:251662336;mso-width-relative:page;mso-height-relative:page;" filled="f" stroked="f" coordsize="21600,21600" o:gfxdata="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0mZ/A1AAAAAg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-38735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05pt;height:0.15pt;width:442.25pt;z-index:251661312;mso-width-relative:page;mso-height-relative:page;" filled="f" stroked="t" coordsize="21600,21600" o:gfxdata="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KDZXr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 PAGE </w:instrText>
    </w:r>
    <w:r>
      <w:rPr>
        <w:rFonts w:ascii="宋体" w:hAnsi="宋体" w:eastAsia="宋体"/>
        <w:sz w:val="28"/>
        <w:szCs w:val="28"/>
      </w:rPr>
      <w:fldChar w:fldCharType="separate"/>
    </w:r>
    <w:r>
      <w:rPr>
        <w:rStyle w:val="7"/>
        <w:rFonts w:ascii="宋体" w:hAnsi="宋体" w:eastAsia="宋体"/>
        <w:sz w:val="28"/>
        <w:szCs w:val="28"/>
        <w:lang w:val="en-US" w:eastAsia="zh-CN"/>
      </w:rPr>
      <w:t>- 2 -</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ascii="宋体" w:hAnsi="宋体" w:eastAsia="宋体"/>
        <w:sz w:val="28"/>
        <w:szCs w:val="28"/>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-38735</wp:posOffset>
              </wp:positionV>
              <wp:extent cx="5616575" cy="1905"/>
              <wp:effectExtent l="0" t="10795" r="6985" b="17780"/>
              <wp:wrapNone/>
              <wp:docPr id="8" name="直接连接符 8"/>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05pt;height:0.15pt;width:442.25pt;z-index:251663360;mso-width-relative:page;mso-height-relative:page;" filled="f" stroked="t" coordsize="21600,21600" o:gfxdata="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KDZXrTAAAA&#10;BwEAAA8AAAAAAAAAAQAgAAAAIgAAAGRycy9kb3ducmV2LnhtbFBLAQIUABQAAAAIAIdO4kAXpr/y&#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重庆市医疗保障局发布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rFonts w:hint="eastAsia" w:ascii="宋体" w:hAnsi="宋体" w:eastAsia="宋体" w:cs="宋体"/>
        <w:b/>
        <w:bCs/>
        <w:color w:val="005192"/>
        <w:sz w:val="28"/>
        <w:szCs w:val="44"/>
        <w:lang w:val="en-US" w:eastAsia="zh-CN"/>
      </w:rPr>
    </w:pPr>
  </w:p>
  <w:p>
    <w:pPr>
      <w:pStyle w:val="2"/>
      <w:ind w:right="360" w:firstLine="360"/>
      <w:jc w:val="right"/>
      <w:rPr>
        <w:rFonts w:ascii="宋体" w:hAnsi="宋体" w:eastAsia="宋体"/>
        <w:sz w:val="28"/>
        <w:szCs w:val="28"/>
      </w:rPr>
    </w:pPr>
    <w:r>
      <w:rPr>
        <w:rFonts w:hint="eastAsia" w:ascii="宋体" w:hAnsi="宋体" w:eastAsia="宋体" w:cs="宋体"/>
        <w:b/>
        <w:bCs/>
        <w:color w:val="005192"/>
        <w:sz w:val="28"/>
        <w:szCs w:val="44"/>
        <w:lang w:val="en-US" w:eastAsia="zh-CN"/>
      </w:rPr>
      <w:t>重庆市医疗保障局发布</w:t>
    </w:r>
  </w:p>
  <w:p>
    <w:pPr>
      <w:pStyle w:val="3"/>
      <w:wordWrap w:val="0"/>
      <w:ind w:left="1067" w:leftChars="508" w:firstLine="8885" w:firstLineChars="3161"/>
      <w:jc w:val="right"/>
      <w:rPr>
        <w:rFonts w:hint="eastAsia"/>
        <w:lang w:eastAsia="zh-CN"/>
      </w:rPr>
    </w:pP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0288;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4384;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ceq+0QAAAAcBAAAP&#10;AAAAAAAAAAEAIAAAACIAAABkcnMvZG93bnJldi54bWxQSwECFAAUAAAACACHTuJAJWN2S+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pPr>
  </w:p>
  <w:p>
    <w:pPr>
      <w:pStyle w:val="3"/>
      <w:jc w:val="left"/>
      <w:rPr>
        <w:rFonts w:hint="eastAsia"/>
        <w:vanish/>
        <w:lang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8383270</wp:posOffset>
              </wp:positionV>
              <wp:extent cx="5616575" cy="1905"/>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60.1pt;height:0.15pt;width:442.25pt;z-index:251665408;mso-width-relative:page;mso-height-relative:page;" filled="f" stroked="t" coordsize="21600,21600" o:gfxdata="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WXOgLV&#10;AAAACgEAAA8AAAAAAAAAAQAgAAAAIgAAAGRycy9kb3ducmV2LnhtbFBLAQIUABQAAAAIAIdO4kCX&#10;Ysju6gEAALcDAAAOAAAAAAAAAAEAIAAAACQBAABkcnMvZTJvRG9jLnhtbFBLBQYAAAAABgAGAFkB&#10;AACABQAAAAA=&#10;">
              <v:fill on="f" focussize="0,0"/>
              <v:stroke weight="1.75pt" color="#005192 [3204]" miterlimit="8" joinstyle="miter"/>
              <v:imagedata o:title=""/>
              <o:lock v:ext="edit" aspectratio="f"/>
            </v:line>
          </w:pict>
        </mc:Fallback>
      </mc:AlternateContent>
    </w:r>
    <w:r>
      <w:rPr>
        <w:rFonts w:hint="eastAsia" w:ascii="方正仿宋_GBK" w:hAnsi="方正仿宋_GBK" w:eastAsia="方正仿宋_GBK" w:cs="方正仿宋_GBK"/>
        <w:b/>
        <w:bCs/>
        <w:vanish/>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366395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0pt;width:442.55pt;z-index:251659264;mso-width-relative:page;mso-height-relative:page;" filled="f" stroked="t" coordsize="21600,21600" o:gfxdata="UEsDBAoAAAAAAIdO4kAAAAAAAAAAAAAAAAAEAAAAZHJzL1BLAwQUAAAACACHTuJAz+1uLd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tabDbDs1vW6BHb4FXjX&#10;8v/43TdQSwMEFAAAAAgAh07iQIpGPcvmAQAAsg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mcWTB04beff/z6&#10;9PXu5xdab79/Y/Mk0uixptwruw2nHfptSIwPXTDpT1zYIQt7PAsrD5EJci4uqvLlcsGZuI8VD4U+&#10;YHwtnWHJaLhWNnGGGvZvMFIzSr1PSW7rrpXW+d60ZWPDK/oSNNAwdjQEZBpPhND2nIHuacpFDBkS&#10;nVZtKk9AGPrdlQ5sD2k2ysX8VZWYUru/0lLvDeAw5eXQNDVGRXoIWpmGL8v0naq1JZCk16RQsnau&#10;PWbhsp+uMrc5jV2alT/3ufrhq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bi3TAAAABgEA&#10;AA8AAAAAAAAAAQAgAAAAIgAAAGRycy9kb3ducmV2LnhtbFBLAQIUABQAAAAIAIdO4kCKRj3L5gEA&#10;ALIDAAAOAAAAAAAAAAEAIAAAACIBAABkcnMvZTJvRG9jLnhtbFBLBQYAAAAABgAGAFkBAAB6BQAA&#10;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3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A4C7869"/>
    <w:rsid w:val="00962125"/>
    <w:rsid w:val="12B40937"/>
    <w:rsid w:val="1A4C7869"/>
    <w:rsid w:val="1DD85BED"/>
    <w:rsid w:val="1F5768C9"/>
    <w:rsid w:val="259B5AC2"/>
    <w:rsid w:val="2723121A"/>
    <w:rsid w:val="27C6336D"/>
    <w:rsid w:val="2B2331CA"/>
    <w:rsid w:val="2C154212"/>
    <w:rsid w:val="359C672E"/>
    <w:rsid w:val="37F35A2D"/>
    <w:rsid w:val="3CE47D83"/>
    <w:rsid w:val="483428B0"/>
    <w:rsid w:val="4D765D5B"/>
    <w:rsid w:val="4FA54E6A"/>
    <w:rsid w:val="571F4954"/>
    <w:rsid w:val="588D7CB0"/>
    <w:rsid w:val="5AF64499"/>
    <w:rsid w:val="5E2A0918"/>
    <w:rsid w:val="63B13F4A"/>
    <w:rsid w:val="65756D55"/>
    <w:rsid w:val="66632EA0"/>
    <w:rsid w:val="6C7A2CAB"/>
    <w:rsid w:val="6DAB796A"/>
    <w:rsid w:val="7A8F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默认段落字体 Para Char Char Char Char Char Char Char Char Char Char"/>
    <w:basedOn w:val="1"/>
    <w:qFormat/>
    <w:uiPriority w:val="0"/>
    <w:rPr>
      <w:rFonts w:ascii="Arial" w:hAnsi="Arial" w:eastAsia="宋体" w:cs="Arial"/>
      <w:sz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2022-06-13T01:04:00Z</dcterms:created>
  <dc:creator>姚远</dc:creator>
  <cp:lastModifiedBy>姚远</cp:lastModifiedBy>
  <dcterms:modified xsi:type="dcterms:W3CDTF">2022-06-22T08:18:25Z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98F50E621EE9484A9CF878B7CF9B0A06</vt:lpwstr>
  </property>
</Properties>
</file>