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关于印发《重庆市城镇职工大额医疗互助保险和城乡居民大病保险业务考核办法（试行）》的通   知</w:t>
      </w:r>
    </w:p>
    <w:p>
      <w:pPr>
        <w:jc w:val="center"/>
        <w:rPr>
          <w:rFonts w:eastAsia="方正仿宋_GBK" w:cs="方正仿宋_GBK"/>
          <w:szCs w:val="32"/>
        </w:rPr>
      </w:pPr>
      <w:r>
        <w:rPr>
          <w:rFonts w:hint="eastAsia" w:eastAsia="方正仿宋_GBK" w:cs="方正仿宋_GBK"/>
          <w:szCs w:val="32"/>
        </w:rPr>
        <w:t>渝医保发〔</w:t>
      </w:r>
      <w:r>
        <w:rPr>
          <w:rFonts w:eastAsia="方正仿宋_GBK" w:cs="方正仿宋_GBK"/>
          <w:color w:val="010000"/>
          <w:szCs w:val="32"/>
        </w:rPr>
        <w:t>2020</w:t>
      </w:r>
      <w:r>
        <w:rPr>
          <w:rFonts w:hint="eastAsia" w:eastAsia="方正仿宋_GBK" w:cs="方正仿宋_GBK"/>
          <w:szCs w:val="32"/>
        </w:rPr>
        <w:t>〕</w:t>
      </w:r>
      <w:r>
        <w:rPr>
          <w:rFonts w:eastAsia="方正仿宋_GBK" w:cs="方正仿宋_GBK"/>
          <w:color w:val="010000"/>
          <w:szCs w:val="32"/>
        </w:rPr>
        <w:t>19</w:t>
      </w:r>
      <w:r>
        <w:rPr>
          <w:rFonts w:hint="eastAsia" w:eastAsia="方正仿宋_GBK" w:cs="方正仿宋_GBK"/>
          <w:szCs w:val="32"/>
        </w:rPr>
        <w:t>号</w:t>
      </w:r>
    </w:p>
    <w:p>
      <w:pPr>
        <w:spacing w:line="560" w:lineRule="exact"/>
        <w:jc w:val="center"/>
        <w:rPr>
          <w:rFonts w:ascii="方正仿宋_GBK" w:eastAsia="方正仿宋_GBK"/>
          <w:color w:val="000000"/>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eastAsia="方正仿宋_GBK"/>
        </w:rPr>
      </w:pPr>
      <w:r>
        <w:rPr>
          <w:rFonts w:hint="eastAsia" w:eastAsia="方正仿宋_GBK"/>
        </w:rPr>
        <w:t>各区县（自治县）医疗保障局，两江新区社会保障局、</w:t>
      </w:r>
      <w:r>
        <w:rPr>
          <w:rFonts w:hint="eastAsia" w:eastAsia="方正仿宋_GBK" w:cs="方正仿宋_GBK"/>
          <w:szCs w:val="32"/>
        </w:rPr>
        <w:t>高新区政务服务和社会事务中心、</w:t>
      </w:r>
      <w:r>
        <w:rPr>
          <w:rFonts w:hint="eastAsia" w:eastAsia="方正仿宋_GBK"/>
        </w:rPr>
        <w:t>万盛经开区人力社保局，各相关商业保险公司：</w:t>
      </w:r>
    </w:p>
    <w:p>
      <w:pPr>
        <w:keepNext w:val="0"/>
        <w:keepLines w:val="0"/>
        <w:pageBreakBefore w:val="0"/>
        <w:widowControl/>
        <w:kinsoku/>
        <w:wordWrap/>
        <w:overflowPunct/>
        <w:topLinePunct w:val="0"/>
        <w:autoSpaceDE/>
        <w:autoSpaceDN/>
        <w:bidi w:val="0"/>
        <w:adjustRightInd/>
        <w:spacing w:line="600" w:lineRule="exact"/>
        <w:ind w:firstLine="627" w:firstLineChars="196"/>
        <w:jc w:val="both"/>
        <w:textAlignment w:val="auto"/>
        <w:rPr>
          <w:rFonts w:eastAsia="方正仿宋_GBK"/>
          <w:color w:val="000000"/>
          <w:szCs w:val="32"/>
        </w:rPr>
      </w:pPr>
      <w:r>
        <w:rPr>
          <w:rFonts w:hint="eastAsia" w:hAnsi="方正仿宋_GBK" w:eastAsia="方正仿宋_GBK" w:cs="方正仿宋_GBK"/>
          <w:szCs w:val="32"/>
        </w:rPr>
        <w:t>为进一步做好</w:t>
      </w:r>
      <w:r>
        <w:rPr>
          <w:rFonts w:hint="eastAsia" w:eastAsia="方正仿宋_GBK"/>
          <w:color w:val="000000"/>
          <w:szCs w:val="32"/>
        </w:rPr>
        <w:t>我市城镇职工大额医疗互助保险和城乡居民大病保险业务考核工作，我局商市财政局同意，制定了《重庆市城镇职工大额医疗互助保险和城乡居民大病保险业务考核办法（试行）》，现印发给你们，请遵照执行。</w:t>
      </w:r>
    </w:p>
    <w:p>
      <w:pPr>
        <w:keepNext w:val="0"/>
        <w:keepLines w:val="0"/>
        <w:pageBreakBefore w:val="0"/>
        <w:widowControl/>
        <w:kinsoku/>
        <w:wordWrap/>
        <w:overflowPunct/>
        <w:topLinePunct w:val="0"/>
        <w:autoSpaceDE/>
        <w:autoSpaceDN/>
        <w:bidi w:val="0"/>
        <w:adjustRightInd/>
        <w:spacing w:line="600" w:lineRule="exact"/>
        <w:ind w:firstLine="627" w:firstLineChars="196"/>
        <w:jc w:val="left"/>
        <w:textAlignment w:val="auto"/>
        <w:rPr>
          <w:rFonts w:eastAsia="方正仿宋_GBK"/>
          <w:color w:val="000000"/>
          <w:szCs w:val="32"/>
        </w:rPr>
      </w:pPr>
    </w:p>
    <w:p>
      <w:pPr>
        <w:keepNext w:val="0"/>
        <w:keepLines w:val="0"/>
        <w:pageBreakBefore w:val="0"/>
        <w:widowControl/>
        <w:kinsoku/>
        <w:wordWrap/>
        <w:overflowPunct/>
        <w:topLinePunct w:val="0"/>
        <w:autoSpaceDE/>
        <w:autoSpaceDN/>
        <w:bidi w:val="0"/>
        <w:adjustRightInd/>
        <w:spacing w:line="600" w:lineRule="exact"/>
        <w:ind w:firstLine="627" w:firstLineChars="196"/>
        <w:jc w:val="left"/>
        <w:textAlignment w:val="auto"/>
        <w:rPr>
          <w:rFonts w:eastAsia="方正仿宋_GBK"/>
          <w:color w:val="000000"/>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eastAsia="方正仿宋_GBK"/>
          <w:color w:val="000000"/>
          <w:szCs w:val="32"/>
        </w:rPr>
      </w:pPr>
      <w:r>
        <w:rPr>
          <w:rFonts w:eastAsia="方正仿宋_GBK"/>
          <w:color w:val="000000"/>
          <w:szCs w:val="32"/>
        </w:rPr>
        <w:t xml:space="preserve">                        </w:t>
      </w:r>
      <w:r>
        <w:rPr>
          <w:rFonts w:hint="eastAsia" w:eastAsia="方正仿宋_GBK"/>
          <w:color w:val="000000"/>
          <w:szCs w:val="32"/>
        </w:rPr>
        <w:t xml:space="preserve">      </w:t>
      </w:r>
      <w:r>
        <w:rPr>
          <w:rFonts w:hint="eastAsia" w:eastAsia="方正仿宋_GBK"/>
          <w:color w:val="000000"/>
          <w:szCs w:val="32"/>
          <w:lang w:val="en-US" w:eastAsia="zh-CN"/>
        </w:rPr>
        <w:t xml:space="preserve">     </w:t>
      </w:r>
      <w:r>
        <w:rPr>
          <w:rFonts w:hint="eastAsia" w:eastAsia="方正仿宋_GBK"/>
          <w:color w:val="000000"/>
          <w:szCs w:val="32"/>
        </w:rPr>
        <w:t>重庆市医疗保障局</w:t>
      </w:r>
    </w:p>
    <w:p>
      <w:pPr>
        <w:keepNext w:val="0"/>
        <w:keepLines w:val="0"/>
        <w:pageBreakBefore w:val="0"/>
        <w:widowControl/>
        <w:kinsoku/>
        <w:wordWrap/>
        <w:overflowPunct/>
        <w:topLinePunct w:val="0"/>
        <w:autoSpaceDE/>
        <w:autoSpaceDN/>
        <w:bidi w:val="0"/>
        <w:adjustRightInd/>
        <w:spacing w:line="600" w:lineRule="exact"/>
        <w:ind w:firstLine="576" w:firstLineChars="180"/>
        <w:textAlignment w:val="auto"/>
        <w:rPr>
          <w:rFonts w:eastAsia="方正仿宋_GBK"/>
          <w:color w:val="000000"/>
          <w:szCs w:val="32"/>
        </w:rPr>
      </w:pPr>
      <w:r>
        <w:rPr>
          <w:rFonts w:hint="eastAsia" w:eastAsia="方正仿宋_GBK"/>
          <w:color w:val="000000"/>
          <w:szCs w:val="32"/>
        </w:rPr>
        <w:t xml:space="preserve">                        </w:t>
      </w:r>
      <w:r>
        <w:rPr>
          <w:rFonts w:hint="eastAsia" w:eastAsia="方正仿宋_GBK"/>
          <w:color w:val="000000"/>
          <w:szCs w:val="32"/>
          <w:lang w:val="en-US" w:eastAsia="zh-CN"/>
        </w:rPr>
        <w:t xml:space="preserve">     </w:t>
      </w:r>
      <w:r>
        <w:rPr>
          <w:rFonts w:hint="eastAsia" w:eastAsia="方正仿宋_GBK"/>
          <w:color w:val="000000"/>
          <w:szCs w:val="32"/>
        </w:rPr>
        <w:t xml:space="preserve">   </w:t>
      </w:r>
      <w:r>
        <w:rPr>
          <w:rFonts w:eastAsia="方正仿宋_GBK"/>
          <w:color w:val="000000"/>
          <w:szCs w:val="32"/>
        </w:rPr>
        <w:t>2020</w:t>
      </w:r>
      <w:r>
        <w:rPr>
          <w:rFonts w:hint="eastAsia" w:eastAsia="方正仿宋_GBK"/>
          <w:color w:val="000000"/>
          <w:szCs w:val="32"/>
        </w:rPr>
        <w:t>年</w:t>
      </w:r>
      <w:r>
        <w:rPr>
          <w:rFonts w:eastAsia="方正仿宋_GBK"/>
          <w:color w:val="000000"/>
          <w:szCs w:val="32"/>
        </w:rPr>
        <w:t>3</w:t>
      </w:r>
      <w:r>
        <w:rPr>
          <w:rFonts w:hint="eastAsia" w:eastAsia="方正仿宋_GBK"/>
          <w:color w:val="000000"/>
          <w:szCs w:val="32"/>
        </w:rPr>
        <w:t>月30日</w:t>
      </w:r>
    </w:p>
    <w:p>
      <w:pPr>
        <w:keepNext w:val="0"/>
        <w:keepLines w:val="0"/>
        <w:pageBreakBefore w:val="0"/>
        <w:widowControl/>
        <w:kinsoku/>
        <w:wordWrap/>
        <w:overflowPunct/>
        <w:topLinePunct w:val="0"/>
        <w:autoSpaceDE/>
        <w:autoSpaceDN/>
        <w:bidi w:val="0"/>
        <w:adjustRightInd/>
        <w:spacing w:line="600" w:lineRule="exact"/>
        <w:textAlignment w:val="auto"/>
        <w:rPr>
          <w:rFonts w:eastAsia="方正仿宋_GBK"/>
          <w:color w:val="000000"/>
          <w:szCs w:val="32"/>
        </w:rPr>
      </w:pPr>
    </w:p>
    <w:p>
      <w:pPr>
        <w:widowControl/>
        <w:spacing w:line="560" w:lineRule="exact"/>
        <w:ind w:firstLine="627" w:firstLineChars="196"/>
        <w:jc w:val="left"/>
        <w:rPr>
          <w:rFonts w:ascii="方正仿宋_GBK" w:eastAsia="方正仿宋_GBK"/>
          <w:color w:val="000000"/>
          <w:szCs w:val="32"/>
        </w:rPr>
      </w:pPr>
    </w:p>
    <w:p>
      <w:pPr>
        <w:spacing w:line="660" w:lineRule="exact"/>
        <w:jc w:val="center"/>
        <w:rPr>
          <w:rFonts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z w:val="44"/>
          <w:szCs w:val="44"/>
        </w:rPr>
      </w:pPr>
      <w:bookmarkStart w:id="0" w:name="_GoBack"/>
      <w:bookmarkEnd w:id="0"/>
      <w:r>
        <w:rPr>
          <w:rFonts w:hint="eastAsia" w:ascii="方正小标宋_GBK" w:eastAsia="方正小标宋_GBK"/>
          <w:color w:val="000000"/>
          <w:sz w:val="44"/>
          <w:szCs w:val="44"/>
        </w:rPr>
        <w:t>重庆市城镇职工大额医疗互助保险和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 xml:space="preserve"> 城乡居民大病保险业务考核办法（试行）</w:t>
      </w:r>
    </w:p>
    <w:p>
      <w:pPr>
        <w:spacing w:line="560" w:lineRule="exact"/>
        <w:jc w:val="center"/>
        <w:rPr>
          <w:rFonts w:ascii="方正仿宋_GBK" w:eastAsia="方正仿宋_GBK"/>
          <w:color w:val="000000"/>
          <w:szCs w:val="32"/>
        </w:rPr>
      </w:pPr>
    </w:p>
    <w:p>
      <w:pPr>
        <w:jc w:val="center"/>
        <w:rPr>
          <w:rFonts w:eastAsia="方正黑体_GBK"/>
          <w:color w:val="000000"/>
          <w:szCs w:val="32"/>
        </w:rPr>
      </w:pPr>
      <w:r>
        <w:rPr>
          <w:rFonts w:hint="eastAsia" w:eastAsia="方正黑体_GBK"/>
          <w:color w:val="000000"/>
          <w:szCs w:val="32"/>
        </w:rPr>
        <w:t>第一章</w:t>
      </w:r>
      <w:r>
        <w:rPr>
          <w:rFonts w:eastAsia="方正黑体_GBK"/>
          <w:color w:val="000000"/>
          <w:szCs w:val="32"/>
        </w:rPr>
        <w:t xml:space="preserve">  </w:t>
      </w:r>
      <w:r>
        <w:rPr>
          <w:rFonts w:hint="eastAsia" w:eastAsia="方正黑体_GBK"/>
          <w:color w:val="000000"/>
          <w:szCs w:val="32"/>
        </w:rPr>
        <w:t>总则</w:t>
      </w:r>
    </w:p>
    <w:p>
      <w:pPr>
        <w:jc w:val="center"/>
        <w:rPr>
          <w:rFonts w:ascii="方正黑体_GBK" w:eastAsia="方正黑体_GBK"/>
          <w:color w:val="000000"/>
          <w:szCs w:val="32"/>
        </w:rPr>
      </w:pPr>
    </w:p>
    <w:p>
      <w:pPr>
        <w:spacing w:line="560" w:lineRule="exact"/>
        <w:ind w:firstLine="640" w:firstLineChars="200"/>
        <w:rPr>
          <w:rFonts w:eastAsia="方正仿宋_GBK"/>
          <w:color w:val="000000"/>
          <w:szCs w:val="32"/>
        </w:rPr>
      </w:pPr>
      <w:r>
        <w:rPr>
          <w:rFonts w:hint="eastAsia" w:eastAsia="方正仿宋_GBK"/>
          <w:color w:val="000000"/>
          <w:szCs w:val="32"/>
        </w:rPr>
        <w:t>第一条</w:t>
      </w:r>
      <w:r>
        <w:rPr>
          <w:rFonts w:eastAsia="方正仿宋_GBK"/>
          <w:color w:val="000000"/>
          <w:szCs w:val="32"/>
        </w:rPr>
        <w:t xml:space="preserve"> </w:t>
      </w:r>
      <w:r>
        <w:rPr>
          <w:rFonts w:hint="eastAsia" w:eastAsia="方正仿宋_GBK"/>
          <w:color w:val="000000"/>
          <w:szCs w:val="32"/>
        </w:rPr>
        <w:t>制定依据</w:t>
      </w:r>
    </w:p>
    <w:p>
      <w:pPr>
        <w:spacing w:line="560" w:lineRule="exact"/>
        <w:ind w:firstLine="640" w:firstLineChars="200"/>
        <w:rPr>
          <w:rFonts w:eastAsia="方正仿宋_GBK"/>
          <w:color w:val="000000"/>
          <w:szCs w:val="32"/>
        </w:rPr>
      </w:pPr>
      <w:r>
        <w:rPr>
          <w:rFonts w:hint="eastAsia" w:eastAsia="方正仿宋_GBK"/>
          <w:color w:val="000000"/>
          <w:szCs w:val="32"/>
        </w:rPr>
        <w:t>为充分发挥我市城镇职工大额医疗互助保险和城乡居民大病保险（以下简称“大额大病医保”）委托商业保险公司承办服务作用，促进委托经办服务工作健康有序运行，根据重庆市人民政府办公厅《</w:t>
      </w:r>
      <w:r>
        <w:rPr>
          <w:rFonts w:hint="eastAsia" w:eastAsia="方正仿宋_GBK"/>
          <w:szCs w:val="32"/>
        </w:rPr>
        <w:t>关于印发重庆市城乡居民大病保险暂行办法的通知》（渝府办发〔</w:t>
      </w:r>
      <w:r>
        <w:rPr>
          <w:rFonts w:eastAsia="方正仿宋_GBK"/>
          <w:szCs w:val="32"/>
        </w:rPr>
        <w:t>2013</w:t>
      </w:r>
      <w:r>
        <w:rPr>
          <w:rFonts w:hint="eastAsia" w:eastAsia="方正仿宋_GBK"/>
          <w:szCs w:val="32"/>
        </w:rPr>
        <w:t>〕</w:t>
      </w:r>
      <w:r>
        <w:rPr>
          <w:rFonts w:eastAsia="方正仿宋_GBK"/>
          <w:szCs w:val="32"/>
        </w:rPr>
        <w:t>214</w:t>
      </w:r>
      <w:r>
        <w:rPr>
          <w:rFonts w:hint="eastAsia" w:eastAsia="方正仿宋_GBK"/>
          <w:szCs w:val="32"/>
        </w:rPr>
        <w:t>号）、《关于调整重庆市城镇职工大额医疗互助保险有关政策的通知》（渝府办发〔</w:t>
      </w:r>
      <w:r>
        <w:rPr>
          <w:rFonts w:eastAsia="方正仿宋_GBK"/>
          <w:szCs w:val="32"/>
        </w:rPr>
        <w:t>2014</w:t>
      </w:r>
      <w:r>
        <w:rPr>
          <w:rFonts w:hint="eastAsia" w:eastAsia="方正仿宋_GBK"/>
          <w:szCs w:val="32"/>
        </w:rPr>
        <w:t>〕</w:t>
      </w:r>
      <w:r>
        <w:rPr>
          <w:rFonts w:eastAsia="方正仿宋_GBK"/>
          <w:szCs w:val="32"/>
        </w:rPr>
        <w:t>97</w:t>
      </w:r>
      <w:r>
        <w:rPr>
          <w:rFonts w:hint="eastAsia" w:eastAsia="方正仿宋_GBK"/>
          <w:szCs w:val="32"/>
        </w:rPr>
        <w:t>号）及相关文件</w:t>
      </w:r>
      <w:r>
        <w:rPr>
          <w:rFonts w:hint="eastAsia" w:eastAsia="方正仿宋_GBK"/>
          <w:color w:val="000000"/>
          <w:szCs w:val="32"/>
        </w:rPr>
        <w:t>精神，制定本办法。</w:t>
      </w:r>
    </w:p>
    <w:p>
      <w:pPr>
        <w:spacing w:line="560" w:lineRule="exact"/>
        <w:ind w:firstLine="640" w:firstLineChars="200"/>
        <w:rPr>
          <w:rFonts w:eastAsia="方正仿宋_GBK"/>
          <w:color w:val="000000"/>
          <w:szCs w:val="32"/>
        </w:rPr>
      </w:pPr>
      <w:r>
        <w:rPr>
          <w:rFonts w:hint="eastAsia" w:eastAsia="方正仿宋_GBK"/>
          <w:color w:val="000000"/>
          <w:szCs w:val="32"/>
        </w:rPr>
        <w:t>第二条</w:t>
      </w:r>
      <w:r>
        <w:rPr>
          <w:rFonts w:eastAsia="方正仿宋_GBK"/>
          <w:color w:val="000000"/>
          <w:szCs w:val="32"/>
        </w:rPr>
        <w:t xml:space="preserve"> </w:t>
      </w:r>
      <w:r>
        <w:rPr>
          <w:rFonts w:hint="eastAsia" w:eastAsia="方正仿宋_GBK"/>
          <w:color w:val="000000"/>
          <w:szCs w:val="32"/>
        </w:rPr>
        <w:t>考核原则</w:t>
      </w:r>
    </w:p>
    <w:p>
      <w:pPr>
        <w:spacing w:line="560" w:lineRule="exact"/>
        <w:ind w:firstLine="640" w:firstLineChars="200"/>
        <w:rPr>
          <w:rFonts w:eastAsia="方正仿宋_GBK"/>
          <w:color w:val="000000"/>
          <w:szCs w:val="32"/>
        </w:rPr>
      </w:pPr>
      <w:r>
        <w:rPr>
          <w:rFonts w:hint="eastAsia" w:eastAsia="方正仿宋_GBK"/>
          <w:color w:val="000000"/>
          <w:szCs w:val="32"/>
        </w:rPr>
        <w:t>公开公平公正原则；注重实效原则；可操作性原则；成本利润挂钩考核原则。</w:t>
      </w:r>
    </w:p>
    <w:p>
      <w:pPr>
        <w:spacing w:line="560" w:lineRule="exact"/>
        <w:ind w:firstLine="652" w:firstLineChars="204"/>
        <w:rPr>
          <w:rFonts w:eastAsia="方正仿宋_GBK"/>
          <w:color w:val="000000"/>
          <w:szCs w:val="32"/>
        </w:rPr>
      </w:pPr>
      <w:r>
        <w:rPr>
          <w:rFonts w:hint="eastAsia" w:eastAsia="方正仿宋_GBK"/>
          <w:color w:val="000000"/>
          <w:szCs w:val="32"/>
        </w:rPr>
        <w:t>第三条</w:t>
      </w:r>
      <w:r>
        <w:rPr>
          <w:rFonts w:eastAsia="方正仿宋_GBK"/>
          <w:color w:val="000000"/>
          <w:szCs w:val="32"/>
        </w:rPr>
        <w:t xml:space="preserve"> </w:t>
      </w:r>
      <w:r>
        <w:rPr>
          <w:rFonts w:hint="eastAsia" w:eastAsia="方正仿宋_GBK"/>
          <w:color w:val="000000"/>
          <w:szCs w:val="32"/>
        </w:rPr>
        <w:t>考核间期</w:t>
      </w:r>
    </w:p>
    <w:p>
      <w:pPr>
        <w:spacing w:line="560" w:lineRule="exact"/>
        <w:ind w:firstLine="652" w:firstLineChars="204"/>
        <w:rPr>
          <w:rFonts w:eastAsia="方正仿宋_GBK"/>
          <w:color w:val="000000"/>
          <w:szCs w:val="32"/>
        </w:rPr>
      </w:pPr>
      <w:r>
        <w:rPr>
          <w:rFonts w:hint="eastAsia" w:eastAsia="方正仿宋_GBK"/>
          <w:color w:val="000000"/>
          <w:szCs w:val="32"/>
        </w:rPr>
        <w:t>考核以自然年度为周期，即每年</w:t>
      </w:r>
      <w:r>
        <w:rPr>
          <w:rFonts w:eastAsia="方正仿宋_GBK"/>
          <w:color w:val="000000"/>
          <w:szCs w:val="32"/>
        </w:rPr>
        <w:t>1</w:t>
      </w:r>
      <w:r>
        <w:rPr>
          <w:rFonts w:hint="eastAsia" w:eastAsia="方正仿宋_GBK"/>
          <w:color w:val="000000"/>
          <w:szCs w:val="32"/>
        </w:rPr>
        <w:t>月</w:t>
      </w:r>
      <w:r>
        <w:rPr>
          <w:rFonts w:eastAsia="方正仿宋_GBK"/>
          <w:color w:val="000000"/>
          <w:szCs w:val="32"/>
        </w:rPr>
        <w:t>1</w:t>
      </w:r>
      <w:r>
        <w:rPr>
          <w:rFonts w:hint="eastAsia" w:eastAsia="方正仿宋_GBK"/>
          <w:color w:val="000000"/>
          <w:szCs w:val="32"/>
        </w:rPr>
        <w:t>日至</w:t>
      </w:r>
      <w:r>
        <w:rPr>
          <w:rFonts w:eastAsia="方正仿宋_GBK"/>
          <w:color w:val="000000"/>
          <w:szCs w:val="32"/>
        </w:rPr>
        <w:t>12</w:t>
      </w:r>
      <w:r>
        <w:rPr>
          <w:rFonts w:hint="eastAsia" w:eastAsia="方正仿宋_GBK"/>
          <w:color w:val="000000"/>
          <w:szCs w:val="32"/>
        </w:rPr>
        <w:t>月</w:t>
      </w:r>
      <w:r>
        <w:rPr>
          <w:rFonts w:eastAsia="方正仿宋_GBK"/>
          <w:color w:val="000000"/>
          <w:szCs w:val="32"/>
        </w:rPr>
        <w:t>31</w:t>
      </w:r>
      <w:r>
        <w:rPr>
          <w:rFonts w:hint="eastAsia" w:eastAsia="方正仿宋_GBK"/>
          <w:color w:val="000000"/>
          <w:szCs w:val="32"/>
        </w:rPr>
        <w:t>日。</w:t>
      </w:r>
    </w:p>
    <w:p>
      <w:pPr>
        <w:spacing w:line="560" w:lineRule="exact"/>
        <w:ind w:firstLine="652" w:firstLineChars="204"/>
        <w:rPr>
          <w:rFonts w:eastAsia="方正仿宋_GBK"/>
          <w:color w:val="000000"/>
          <w:szCs w:val="32"/>
        </w:rPr>
      </w:pPr>
      <w:r>
        <w:rPr>
          <w:rFonts w:hint="eastAsia" w:eastAsia="方正仿宋_GBK"/>
          <w:color w:val="000000"/>
          <w:szCs w:val="32"/>
        </w:rPr>
        <w:t>第四条</w:t>
      </w:r>
      <w:r>
        <w:rPr>
          <w:rFonts w:eastAsia="方正仿宋_GBK"/>
          <w:color w:val="000000"/>
          <w:szCs w:val="32"/>
        </w:rPr>
        <w:t xml:space="preserve"> </w:t>
      </w:r>
      <w:r>
        <w:rPr>
          <w:rFonts w:hint="eastAsia" w:eastAsia="方正仿宋_GBK"/>
          <w:color w:val="000000"/>
          <w:szCs w:val="32"/>
        </w:rPr>
        <w:t>考核对象</w:t>
      </w:r>
    </w:p>
    <w:p>
      <w:pPr>
        <w:spacing w:line="560" w:lineRule="exact"/>
        <w:ind w:firstLine="652" w:firstLineChars="204"/>
        <w:rPr>
          <w:rFonts w:eastAsia="方正仿宋_GBK"/>
          <w:color w:val="000000"/>
          <w:szCs w:val="32"/>
        </w:rPr>
      </w:pPr>
      <w:r>
        <w:rPr>
          <w:rFonts w:hint="eastAsia" w:eastAsia="方正仿宋_GBK"/>
          <w:color w:val="000000"/>
          <w:szCs w:val="32"/>
        </w:rPr>
        <w:t>承办我市大额大病医保的商业保险公司（以下简称保险公司）。</w:t>
      </w:r>
    </w:p>
    <w:p>
      <w:pPr>
        <w:spacing w:line="560" w:lineRule="exact"/>
        <w:ind w:firstLine="652" w:firstLineChars="204"/>
        <w:rPr>
          <w:rFonts w:eastAsia="方正仿宋_GBK"/>
          <w:color w:val="000000"/>
          <w:szCs w:val="32"/>
        </w:rPr>
      </w:pPr>
      <w:r>
        <w:rPr>
          <w:rFonts w:hint="eastAsia" w:eastAsia="方正仿宋_GBK"/>
          <w:color w:val="000000"/>
          <w:szCs w:val="32"/>
        </w:rPr>
        <w:t>第五条</w:t>
      </w:r>
      <w:r>
        <w:rPr>
          <w:rFonts w:eastAsia="方正仿宋_GBK"/>
          <w:color w:val="000000"/>
          <w:szCs w:val="32"/>
        </w:rPr>
        <w:t xml:space="preserve"> </w:t>
      </w:r>
      <w:r>
        <w:rPr>
          <w:rFonts w:hint="eastAsia" w:eastAsia="方正仿宋_GBK"/>
          <w:color w:val="000000"/>
          <w:szCs w:val="32"/>
        </w:rPr>
        <w:t>考核内容</w:t>
      </w:r>
    </w:p>
    <w:p>
      <w:pPr>
        <w:spacing w:line="560" w:lineRule="exact"/>
        <w:ind w:firstLine="652" w:firstLineChars="204"/>
        <w:rPr>
          <w:rFonts w:eastAsia="方正仿宋_GBK"/>
          <w:color w:val="000000"/>
          <w:szCs w:val="32"/>
        </w:rPr>
      </w:pPr>
      <w:r>
        <w:rPr>
          <w:rFonts w:hint="eastAsia" w:eastAsia="方正仿宋_GBK"/>
          <w:color w:val="000000"/>
          <w:szCs w:val="32"/>
        </w:rPr>
        <w:t>本办法适用于商业保险公司承办我市大额大病医保业务期间对其人员管理、日常工作、基金管理、配合工作、纪律安全等方面内容的考核。</w:t>
      </w:r>
    </w:p>
    <w:p>
      <w:pPr>
        <w:spacing w:line="560" w:lineRule="exact"/>
        <w:ind w:firstLine="652" w:firstLineChars="204"/>
        <w:rPr>
          <w:rFonts w:eastAsia="方正仿宋_GBK"/>
          <w:color w:val="000000"/>
          <w:szCs w:val="32"/>
        </w:rPr>
      </w:pPr>
      <w:r>
        <w:rPr>
          <w:rFonts w:hint="eastAsia" w:eastAsia="方正仿宋_GBK"/>
          <w:color w:val="000000"/>
          <w:szCs w:val="32"/>
        </w:rPr>
        <w:t>第六条</w:t>
      </w:r>
      <w:r>
        <w:rPr>
          <w:rFonts w:eastAsia="方正仿宋_GBK"/>
          <w:color w:val="000000"/>
          <w:szCs w:val="32"/>
        </w:rPr>
        <w:t xml:space="preserve"> </w:t>
      </w:r>
      <w:r>
        <w:rPr>
          <w:rFonts w:hint="eastAsia" w:eastAsia="方正仿宋_GBK"/>
          <w:color w:val="000000"/>
          <w:szCs w:val="32"/>
        </w:rPr>
        <w:t>数据来源</w:t>
      </w:r>
    </w:p>
    <w:p>
      <w:pPr>
        <w:spacing w:line="560" w:lineRule="exact"/>
        <w:ind w:firstLine="652" w:firstLineChars="204"/>
        <w:rPr>
          <w:rFonts w:eastAsia="方正仿宋_GBK"/>
          <w:color w:val="000000"/>
          <w:szCs w:val="32"/>
        </w:rPr>
      </w:pPr>
      <w:r>
        <w:rPr>
          <w:rFonts w:hint="eastAsia" w:eastAsia="方正仿宋_GBK"/>
          <w:color w:val="000000"/>
          <w:szCs w:val="32"/>
        </w:rPr>
        <w:t>本考核办法中相关考核指标数据来源于医疗保险管理信息系统统计、工作台账和数据清算结果。</w:t>
      </w:r>
    </w:p>
    <w:p>
      <w:pPr>
        <w:spacing w:line="560" w:lineRule="exact"/>
        <w:ind w:firstLine="652" w:firstLineChars="204"/>
        <w:rPr>
          <w:rFonts w:eastAsia="方正仿宋_GBK"/>
          <w:color w:val="000000"/>
          <w:szCs w:val="32"/>
        </w:rPr>
      </w:pPr>
      <w:r>
        <w:rPr>
          <w:rFonts w:hint="eastAsia" w:eastAsia="方正仿宋_GBK"/>
          <w:color w:val="000000"/>
          <w:szCs w:val="32"/>
        </w:rPr>
        <w:t>第七条</w:t>
      </w:r>
      <w:r>
        <w:rPr>
          <w:rFonts w:eastAsia="方正仿宋_GBK"/>
          <w:color w:val="000000"/>
          <w:szCs w:val="32"/>
        </w:rPr>
        <w:t xml:space="preserve"> </w:t>
      </w:r>
      <w:r>
        <w:rPr>
          <w:rFonts w:hint="eastAsia" w:eastAsia="方正仿宋_GBK"/>
          <w:color w:val="000000"/>
          <w:szCs w:val="32"/>
        </w:rPr>
        <w:t>考核分类</w:t>
      </w:r>
    </w:p>
    <w:p>
      <w:pPr>
        <w:spacing w:line="560" w:lineRule="exact"/>
        <w:ind w:firstLine="652" w:firstLineChars="204"/>
        <w:rPr>
          <w:rFonts w:eastAsia="方正仿宋_GBK"/>
          <w:color w:val="000000"/>
          <w:szCs w:val="32"/>
        </w:rPr>
      </w:pPr>
      <w:r>
        <w:rPr>
          <w:rFonts w:hint="eastAsia" w:eastAsia="方正仿宋_GBK"/>
          <w:color w:val="000000"/>
          <w:szCs w:val="32"/>
        </w:rPr>
        <w:t>我市大额大病医保考核按城镇职工大额医保、城乡居民大病保险分别考核计分，部分指标分承办区县考核计分。</w:t>
      </w:r>
    </w:p>
    <w:p>
      <w:pPr>
        <w:spacing w:line="560" w:lineRule="exact"/>
        <w:ind w:firstLine="652" w:firstLineChars="204"/>
        <w:rPr>
          <w:rFonts w:eastAsia="方正仿宋_GBK"/>
          <w:color w:val="000000"/>
          <w:szCs w:val="32"/>
        </w:rPr>
      </w:pPr>
    </w:p>
    <w:p>
      <w:pPr>
        <w:jc w:val="center"/>
        <w:rPr>
          <w:rFonts w:ascii="方正黑体_GBK" w:eastAsia="方正黑体_GBK"/>
          <w:szCs w:val="32"/>
        </w:rPr>
      </w:pPr>
      <w:r>
        <w:rPr>
          <w:rFonts w:hint="eastAsia" w:ascii="方正黑体_GBK" w:eastAsia="方正黑体_GBK"/>
          <w:szCs w:val="32"/>
        </w:rPr>
        <w:t>第二章  考核权重、指标及方法</w:t>
      </w:r>
    </w:p>
    <w:p>
      <w:pPr>
        <w:jc w:val="center"/>
        <w:rPr>
          <w:rFonts w:ascii="方正黑体_GBK" w:eastAsia="方正黑体_GBK"/>
          <w:szCs w:val="32"/>
        </w:rPr>
      </w:pPr>
    </w:p>
    <w:p>
      <w:pPr>
        <w:spacing w:line="560" w:lineRule="exact"/>
        <w:ind w:firstLine="640" w:firstLineChars="200"/>
        <w:rPr>
          <w:rFonts w:eastAsia="方正仿宋_GBK"/>
          <w:color w:val="000000"/>
          <w:szCs w:val="32"/>
        </w:rPr>
      </w:pPr>
      <w:r>
        <w:rPr>
          <w:rFonts w:hint="eastAsia" w:eastAsia="方正仿宋_GBK"/>
          <w:color w:val="000000"/>
          <w:szCs w:val="32"/>
        </w:rPr>
        <w:t>第八条</w:t>
      </w:r>
      <w:r>
        <w:rPr>
          <w:rFonts w:eastAsia="方正仿宋_GBK"/>
          <w:color w:val="000000"/>
          <w:szCs w:val="32"/>
        </w:rPr>
        <w:t xml:space="preserve"> </w:t>
      </w:r>
      <w:r>
        <w:rPr>
          <w:rFonts w:hint="eastAsia" w:eastAsia="方正仿宋_GBK"/>
          <w:color w:val="000000"/>
          <w:szCs w:val="32"/>
        </w:rPr>
        <w:t>基础分值</w:t>
      </w:r>
    </w:p>
    <w:p>
      <w:pPr>
        <w:spacing w:line="560" w:lineRule="exact"/>
        <w:ind w:firstLine="640" w:firstLineChars="200"/>
        <w:rPr>
          <w:rFonts w:eastAsia="方正仿宋_GBK"/>
          <w:color w:val="000000"/>
          <w:szCs w:val="32"/>
        </w:rPr>
      </w:pPr>
      <w:r>
        <w:rPr>
          <w:rFonts w:hint="eastAsia" w:eastAsia="方正仿宋_GBK"/>
          <w:color w:val="000000"/>
          <w:szCs w:val="32"/>
        </w:rPr>
        <w:t>大额大病医保承办服务考核按承办保险公司综合考核、分承办区县细化考核两项进行分别考核评分。综合考核每保险公司城镇职工大额互助保险和城乡居民大病保险基本分分别为</w:t>
      </w:r>
      <w:r>
        <w:rPr>
          <w:rFonts w:eastAsia="方正仿宋_GBK"/>
          <w:color w:val="000000"/>
          <w:szCs w:val="32"/>
        </w:rPr>
        <w:t>100</w:t>
      </w:r>
      <w:r>
        <w:rPr>
          <w:rFonts w:hint="eastAsia" w:eastAsia="方正仿宋_GBK"/>
          <w:color w:val="000000"/>
          <w:szCs w:val="32"/>
        </w:rPr>
        <w:t>分，按考核指标实行加减分考核评分；细化考核城镇职工大额互助保险和城乡居民大病保险基本分分别为</w:t>
      </w:r>
      <w:r>
        <w:rPr>
          <w:rFonts w:eastAsia="方正仿宋_GBK"/>
          <w:color w:val="000000"/>
          <w:szCs w:val="32"/>
        </w:rPr>
        <w:t>50</w:t>
      </w:r>
      <w:r>
        <w:rPr>
          <w:rFonts w:hint="eastAsia" w:eastAsia="方正仿宋_GBK"/>
          <w:color w:val="000000"/>
          <w:szCs w:val="32"/>
        </w:rPr>
        <w:t>分，按考核指标实行加减分考核评分。</w:t>
      </w:r>
    </w:p>
    <w:p>
      <w:pPr>
        <w:spacing w:line="560" w:lineRule="exact"/>
        <w:ind w:firstLine="640" w:firstLineChars="200"/>
        <w:rPr>
          <w:rFonts w:eastAsia="方正仿宋_GBK"/>
          <w:color w:val="000000"/>
          <w:szCs w:val="32"/>
        </w:rPr>
      </w:pPr>
      <w:r>
        <w:rPr>
          <w:rFonts w:hint="eastAsia" w:eastAsia="方正仿宋_GBK"/>
          <w:color w:val="000000"/>
          <w:szCs w:val="32"/>
        </w:rPr>
        <w:t>第九条</w:t>
      </w:r>
      <w:r>
        <w:rPr>
          <w:rFonts w:eastAsia="方正仿宋_GBK"/>
          <w:color w:val="000000"/>
          <w:szCs w:val="32"/>
        </w:rPr>
        <w:t xml:space="preserve"> </w:t>
      </w:r>
      <w:r>
        <w:rPr>
          <w:rFonts w:hint="eastAsia" w:eastAsia="方正仿宋_GBK"/>
          <w:color w:val="000000"/>
          <w:szCs w:val="32"/>
        </w:rPr>
        <w:t>评分方法</w:t>
      </w:r>
    </w:p>
    <w:p>
      <w:pPr>
        <w:spacing w:line="560" w:lineRule="exact"/>
        <w:ind w:firstLine="640" w:firstLineChars="200"/>
        <w:rPr>
          <w:rFonts w:eastAsia="方正仿宋_GBK"/>
          <w:color w:val="000000"/>
          <w:szCs w:val="32"/>
        </w:rPr>
      </w:pPr>
      <w:r>
        <w:rPr>
          <w:rFonts w:hint="eastAsia" w:eastAsia="方正仿宋_GBK"/>
          <w:color w:val="000000"/>
          <w:szCs w:val="32"/>
        </w:rPr>
        <w:t>具体考核指标及评分标准见附件</w:t>
      </w:r>
      <w:r>
        <w:rPr>
          <w:rFonts w:eastAsia="方正仿宋_GBK"/>
          <w:color w:val="000000"/>
          <w:szCs w:val="32"/>
        </w:rPr>
        <w:t>1</w:t>
      </w:r>
      <w:r>
        <w:rPr>
          <w:rFonts w:hint="eastAsia" w:eastAsia="方正仿宋_GBK"/>
          <w:color w:val="000000"/>
          <w:szCs w:val="32"/>
        </w:rPr>
        <w:t>。表中</w:t>
      </w:r>
      <w:r>
        <w:rPr>
          <w:rFonts w:eastAsia="方正仿宋_GBK"/>
          <w:color w:val="000000"/>
          <w:szCs w:val="32"/>
        </w:rPr>
        <w:t>1</w:t>
      </w:r>
      <w:r>
        <w:rPr>
          <w:rFonts w:hint="eastAsia" w:eastAsia="方正仿宋_GBK"/>
          <w:color w:val="000000"/>
          <w:szCs w:val="32"/>
        </w:rPr>
        <w:t>、</w:t>
      </w:r>
      <w:r>
        <w:rPr>
          <w:rFonts w:eastAsia="方正仿宋_GBK"/>
          <w:color w:val="000000"/>
          <w:szCs w:val="32"/>
        </w:rPr>
        <w:t>2</w:t>
      </w:r>
      <w:r>
        <w:rPr>
          <w:rFonts w:hint="eastAsia" w:eastAsia="方正仿宋_GBK"/>
          <w:color w:val="000000"/>
          <w:szCs w:val="32"/>
        </w:rPr>
        <w:t>、</w:t>
      </w:r>
      <w:r>
        <w:rPr>
          <w:rFonts w:eastAsia="方正仿宋_GBK"/>
          <w:color w:val="000000"/>
          <w:szCs w:val="32"/>
        </w:rPr>
        <w:t>6</w:t>
      </w:r>
      <w:r>
        <w:rPr>
          <w:rFonts w:hint="eastAsia" w:eastAsia="方正仿宋_GBK"/>
          <w:color w:val="000000"/>
          <w:szCs w:val="32"/>
        </w:rPr>
        <w:t>、</w:t>
      </w:r>
      <w:r>
        <w:rPr>
          <w:rFonts w:eastAsia="方正仿宋_GBK"/>
          <w:color w:val="000000"/>
          <w:szCs w:val="32"/>
        </w:rPr>
        <w:t>8</w:t>
      </w:r>
      <w:r>
        <w:rPr>
          <w:rFonts w:hint="eastAsia" w:eastAsia="方正仿宋_GBK"/>
          <w:color w:val="000000"/>
          <w:szCs w:val="32"/>
        </w:rPr>
        <w:t>、</w:t>
      </w:r>
      <w:r>
        <w:rPr>
          <w:rFonts w:eastAsia="方正仿宋_GBK"/>
          <w:color w:val="000000"/>
          <w:szCs w:val="32"/>
        </w:rPr>
        <w:t>9</w:t>
      </w:r>
      <w:r>
        <w:rPr>
          <w:rFonts w:hint="eastAsia" w:eastAsia="方正仿宋_GBK"/>
          <w:color w:val="000000"/>
          <w:szCs w:val="32"/>
        </w:rPr>
        <w:t>、</w:t>
      </w:r>
      <w:r>
        <w:rPr>
          <w:rFonts w:eastAsia="方正仿宋_GBK"/>
          <w:color w:val="000000"/>
          <w:szCs w:val="32"/>
        </w:rPr>
        <w:t>10</w:t>
      </w:r>
      <w:r>
        <w:rPr>
          <w:rFonts w:hint="eastAsia" w:eastAsia="方正仿宋_GBK"/>
          <w:color w:val="000000"/>
          <w:szCs w:val="32"/>
        </w:rPr>
        <w:t>项指标城镇职工大额互助保险和城乡居民大病保险使用同一考核分值，其余分险种评分。综合考核包括所有指标项，细化考核指标为标记“★”符号项。</w:t>
      </w:r>
    </w:p>
    <w:p>
      <w:pPr>
        <w:spacing w:line="560" w:lineRule="exact"/>
        <w:ind w:firstLine="652" w:firstLineChars="204"/>
        <w:rPr>
          <w:rFonts w:eastAsia="方正仿宋_GBK"/>
          <w:color w:val="000000"/>
          <w:szCs w:val="32"/>
        </w:rPr>
      </w:pPr>
      <w:r>
        <w:rPr>
          <w:rFonts w:hint="eastAsia" w:eastAsia="方正仿宋_GBK"/>
          <w:color w:val="000000"/>
          <w:szCs w:val="32"/>
        </w:rPr>
        <w:t>第十条</w:t>
      </w:r>
      <w:r>
        <w:rPr>
          <w:rFonts w:eastAsia="方正仿宋_GBK"/>
          <w:color w:val="000000"/>
          <w:szCs w:val="32"/>
        </w:rPr>
        <w:t xml:space="preserve"> </w:t>
      </w:r>
      <w:r>
        <w:rPr>
          <w:rFonts w:hint="eastAsia" w:eastAsia="方正仿宋_GBK"/>
          <w:color w:val="000000"/>
          <w:szCs w:val="32"/>
        </w:rPr>
        <w:t>考核指标计算原则</w:t>
      </w:r>
    </w:p>
    <w:p>
      <w:pPr>
        <w:spacing w:line="560" w:lineRule="exact"/>
        <w:ind w:firstLine="652" w:firstLineChars="204"/>
        <w:rPr>
          <w:rFonts w:eastAsia="方正仿宋_GBK"/>
          <w:color w:val="000000"/>
          <w:szCs w:val="32"/>
        </w:rPr>
      </w:pPr>
      <w:r>
        <w:rPr>
          <w:rFonts w:hint="eastAsia" w:eastAsia="方正仿宋_GBK"/>
          <w:color w:val="000000"/>
          <w:szCs w:val="32"/>
        </w:rPr>
        <w:t>考核指标中人数、人次量、条目数、次数保留整数，其余指标保留两位小数，计算结果中涉及计分需要或尾数处理按四舍五入原则统计。</w:t>
      </w:r>
    </w:p>
    <w:p>
      <w:pPr>
        <w:jc w:val="center"/>
        <w:rPr>
          <w:rFonts w:ascii="方正黑体_GBK" w:eastAsia="方正黑体_GBK"/>
          <w:color w:val="FF0000"/>
          <w:szCs w:val="32"/>
        </w:rPr>
      </w:pPr>
    </w:p>
    <w:p>
      <w:pPr>
        <w:jc w:val="center"/>
        <w:rPr>
          <w:rFonts w:ascii="方正黑体_GBK" w:eastAsia="方正黑体_GBK"/>
          <w:szCs w:val="32"/>
        </w:rPr>
      </w:pPr>
      <w:r>
        <w:rPr>
          <w:rFonts w:hint="eastAsia" w:ascii="方正黑体_GBK" w:eastAsia="方正黑体_GBK"/>
          <w:szCs w:val="32"/>
        </w:rPr>
        <w:t>第三章  考核组织及程序</w:t>
      </w:r>
    </w:p>
    <w:p>
      <w:pPr>
        <w:jc w:val="center"/>
        <w:rPr>
          <w:rFonts w:ascii="方正黑体_GBK" w:eastAsia="方正黑体_GBK"/>
          <w:szCs w:val="32"/>
        </w:rPr>
      </w:pPr>
    </w:p>
    <w:p>
      <w:pPr>
        <w:spacing w:line="560" w:lineRule="exact"/>
        <w:ind w:firstLine="640" w:firstLineChars="200"/>
        <w:rPr>
          <w:rFonts w:eastAsia="方正仿宋_GBK"/>
          <w:color w:val="000000"/>
          <w:szCs w:val="32"/>
        </w:rPr>
      </w:pPr>
      <w:r>
        <w:rPr>
          <w:rFonts w:hint="eastAsia" w:eastAsia="方正仿宋_GBK"/>
          <w:color w:val="000000"/>
          <w:szCs w:val="32"/>
        </w:rPr>
        <w:t>第十一条</w:t>
      </w:r>
      <w:r>
        <w:rPr>
          <w:rFonts w:eastAsia="方正仿宋_GBK"/>
          <w:color w:val="000000"/>
          <w:szCs w:val="32"/>
        </w:rPr>
        <w:t xml:space="preserve"> </w:t>
      </w:r>
      <w:r>
        <w:rPr>
          <w:rFonts w:hint="eastAsia" w:eastAsia="方正仿宋_GBK"/>
          <w:color w:val="000000"/>
          <w:szCs w:val="32"/>
        </w:rPr>
        <w:t>考核组织</w:t>
      </w:r>
    </w:p>
    <w:p>
      <w:pPr>
        <w:spacing w:line="560" w:lineRule="exact"/>
        <w:ind w:firstLine="640" w:firstLineChars="200"/>
        <w:rPr>
          <w:rFonts w:eastAsia="方正仿宋_GBK"/>
          <w:color w:val="000000"/>
          <w:szCs w:val="32"/>
        </w:rPr>
      </w:pPr>
      <w:r>
        <w:rPr>
          <w:rFonts w:hint="eastAsia" w:eastAsia="方正仿宋_GBK"/>
          <w:color w:val="000000"/>
          <w:szCs w:val="32"/>
        </w:rPr>
        <w:t>大额大病医保业务考核由市医保局牵头组织，市医保局医保事务管理组牵头实施，市医保局各相关处室（单位）和各区县医保部门根据职责范围按附件</w:t>
      </w:r>
      <w:r>
        <w:rPr>
          <w:rFonts w:eastAsia="方正仿宋_GBK"/>
          <w:color w:val="000000"/>
          <w:szCs w:val="32"/>
        </w:rPr>
        <w:t>1</w:t>
      </w:r>
      <w:r>
        <w:rPr>
          <w:rFonts w:hint="eastAsia" w:eastAsia="方正仿宋_GBK"/>
          <w:color w:val="000000"/>
          <w:szCs w:val="32"/>
        </w:rPr>
        <w:t>、</w:t>
      </w:r>
      <w:r>
        <w:rPr>
          <w:rFonts w:eastAsia="方正仿宋_GBK"/>
          <w:color w:val="000000"/>
          <w:szCs w:val="32"/>
        </w:rPr>
        <w:t>2</w:t>
      </w:r>
      <w:r>
        <w:rPr>
          <w:rFonts w:hint="eastAsia" w:eastAsia="方正仿宋_GBK"/>
          <w:color w:val="000000"/>
          <w:szCs w:val="32"/>
        </w:rPr>
        <w:t>、</w:t>
      </w:r>
      <w:r>
        <w:rPr>
          <w:rFonts w:eastAsia="方正仿宋_GBK"/>
          <w:color w:val="000000"/>
          <w:szCs w:val="32"/>
        </w:rPr>
        <w:t>3</w:t>
      </w:r>
      <w:r>
        <w:rPr>
          <w:rFonts w:hint="eastAsia" w:eastAsia="方正仿宋_GBK"/>
          <w:color w:val="000000"/>
          <w:szCs w:val="32"/>
        </w:rPr>
        <w:t>要求具体负责。</w:t>
      </w:r>
    </w:p>
    <w:p>
      <w:pPr>
        <w:spacing w:line="560" w:lineRule="exact"/>
        <w:ind w:firstLine="640" w:firstLineChars="200"/>
        <w:rPr>
          <w:rFonts w:eastAsia="方正仿宋_GBK"/>
          <w:color w:val="000000"/>
          <w:szCs w:val="32"/>
        </w:rPr>
      </w:pPr>
      <w:r>
        <w:rPr>
          <w:rFonts w:hint="eastAsia" w:eastAsia="方正仿宋_GBK"/>
          <w:color w:val="000000"/>
          <w:szCs w:val="32"/>
        </w:rPr>
        <w:t>第十二条</w:t>
      </w:r>
      <w:r>
        <w:rPr>
          <w:rFonts w:eastAsia="方正仿宋_GBK"/>
          <w:color w:val="000000"/>
          <w:szCs w:val="32"/>
        </w:rPr>
        <w:t xml:space="preserve"> </w:t>
      </w:r>
      <w:r>
        <w:rPr>
          <w:rFonts w:hint="eastAsia" w:eastAsia="方正仿宋_GBK"/>
          <w:color w:val="000000"/>
          <w:szCs w:val="32"/>
        </w:rPr>
        <w:t>数据提供</w:t>
      </w:r>
    </w:p>
    <w:p>
      <w:pPr>
        <w:spacing w:line="560" w:lineRule="exact"/>
        <w:ind w:firstLine="640" w:firstLineChars="200"/>
        <w:rPr>
          <w:rFonts w:eastAsia="方正仿宋_GBK"/>
          <w:color w:val="000000"/>
          <w:szCs w:val="32"/>
        </w:rPr>
      </w:pPr>
      <w:r>
        <w:rPr>
          <w:rFonts w:hint="eastAsia" w:eastAsia="方正仿宋_GBK"/>
          <w:color w:val="000000"/>
          <w:szCs w:val="32"/>
        </w:rPr>
        <w:t>（一）市医保局人事处牵头提供分保险公司市级合署办人员配备率、医学人员配备率指标数据和得分；各区县医保部门提供本区县合署办人员配备率、医学人员配备率指标数据和得分；市合署办汇总提供全市合署办人员配备率、医学人员配备率指标得分。</w:t>
      </w:r>
    </w:p>
    <w:p>
      <w:pPr>
        <w:spacing w:line="560" w:lineRule="exact"/>
        <w:ind w:firstLine="640" w:firstLineChars="200"/>
        <w:rPr>
          <w:rFonts w:eastAsia="方正仿宋_GBK"/>
          <w:color w:val="000000"/>
          <w:szCs w:val="32"/>
        </w:rPr>
      </w:pPr>
      <w:r>
        <w:rPr>
          <w:rFonts w:hint="eastAsia" w:eastAsia="方正仿宋_GBK"/>
          <w:color w:val="000000"/>
          <w:szCs w:val="32"/>
        </w:rPr>
        <w:t>（二）市医保局医保事务管理组分保险公司提供结算效率、支付效率、审核管理指标数据和得分，分区县提供结算效率指标数据和得分。</w:t>
      </w:r>
    </w:p>
    <w:p>
      <w:pPr>
        <w:spacing w:line="560" w:lineRule="exact"/>
        <w:ind w:firstLine="640" w:firstLineChars="200"/>
        <w:rPr>
          <w:rFonts w:eastAsia="方正仿宋_GBK"/>
          <w:color w:val="000000"/>
          <w:szCs w:val="32"/>
        </w:rPr>
      </w:pPr>
      <w:r>
        <w:rPr>
          <w:rFonts w:hint="eastAsia" w:eastAsia="方正仿宋_GBK"/>
          <w:color w:val="000000"/>
          <w:szCs w:val="32"/>
        </w:rPr>
        <w:t>（三）市医保局基金监管处分保险公司提供全市监督检查指标数据和得分。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四）市医保局规划财务和法规处分保险公司提供数据信息安全保密指标数据和得分，分保险公司提供违规违纪情况中通过审计查出问题的、或因保险公司履职不到位导致各级医保部门（含经办机构）行政复议被撤销或行政诉讼败诉的指标数据和得分。违规违纪情况指标中其他数据和得分、工作配合度由市医保局相关处室根据向区县医保部门获取和本处室（单位）掌握情况分保险公司提供指标数据和得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（五）投标承诺完成情况由市医保局医保事务管理组根据各保险公司承诺书，对照其实际完成项目情况，经核实确认进行统计。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各区县医保部门和市医保局相关处室（单位）根据职能和责任范围做好相应指标情况的平时台账记录，确保提供数据真实可靠。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第十三条</w:t>
      </w:r>
      <w:r>
        <w:rPr>
          <w:rFonts w:eastAsia="方正仿宋_GBK"/>
          <w:color w:val="000000"/>
          <w:szCs w:val="32"/>
        </w:rPr>
        <w:t xml:space="preserve"> </w:t>
      </w:r>
      <w:r>
        <w:rPr>
          <w:rFonts w:hint="eastAsia" w:eastAsia="方正仿宋_GBK"/>
          <w:color w:val="000000"/>
          <w:szCs w:val="32"/>
        </w:rPr>
        <w:t>考核程序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（一）每年</w:t>
      </w:r>
      <w:r>
        <w:rPr>
          <w:rFonts w:eastAsia="方正仿宋_GBK"/>
          <w:color w:val="000000"/>
          <w:szCs w:val="32"/>
        </w:rPr>
        <w:t>2</w:t>
      </w:r>
      <w:r>
        <w:rPr>
          <w:rFonts w:hint="eastAsia" w:eastAsia="方正仿宋_GBK"/>
          <w:color w:val="000000"/>
          <w:szCs w:val="32"/>
        </w:rPr>
        <w:t>月底前，各区县医保部门和市医保局相关处室（单位）根据上年度各保险公司承办服务情况向考核牵头实施部门提供各项指标得分（提交样表见附件</w:t>
      </w:r>
      <w:r>
        <w:rPr>
          <w:rFonts w:eastAsia="方正仿宋_GBK"/>
          <w:color w:val="000000"/>
          <w:szCs w:val="32"/>
        </w:rPr>
        <w:t>2</w:t>
      </w:r>
      <w:r>
        <w:rPr>
          <w:rFonts w:hint="eastAsia" w:eastAsia="方正仿宋_GBK"/>
          <w:color w:val="000000"/>
          <w:szCs w:val="32"/>
        </w:rPr>
        <w:t>、附件</w:t>
      </w:r>
      <w:r>
        <w:rPr>
          <w:rFonts w:eastAsia="方正仿宋_GBK"/>
          <w:color w:val="000000"/>
          <w:szCs w:val="32"/>
        </w:rPr>
        <w:t>3</w:t>
      </w:r>
      <w:r>
        <w:rPr>
          <w:rFonts w:hint="eastAsia" w:eastAsia="方正仿宋_GBK"/>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Cs w:val="32"/>
        </w:rPr>
      </w:pPr>
      <w:r>
        <w:rPr>
          <w:rFonts w:hint="eastAsia" w:eastAsia="方正仿宋_GBK"/>
          <w:color w:val="000000"/>
          <w:szCs w:val="32"/>
        </w:rPr>
        <w:t>（二）市医保局汇总保险公司考核结果，根据《大额大病医保考核指标及评分标准》，形成各保险公司综合考核和其承办服务的区县细化考核得分结果。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Cs w:val="32"/>
        </w:rPr>
      </w:pPr>
      <w:r>
        <w:rPr>
          <w:rFonts w:hint="eastAsia" w:ascii="方正黑体_GBK" w:eastAsia="方正黑体_GBK"/>
          <w:szCs w:val="32"/>
        </w:rPr>
        <w:t>第四章  考核结果运用</w:t>
      </w:r>
    </w:p>
    <w:p>
      <w:pPr>
        <w:jc w:val="center"/>
        <w:rPr>
          <w:rFonts w:ascii="方正黑体_GBK" w:eastAsia="方正黑体_GBK"/>
          <w:szCs w:val="32"/>
        </w:rPr>
      </w:pPr>
    </w:p>
    <w:p>
      <w:pPr>
        <w:spacing w:line="560" w:lineRule="exact"/>
        <w:ind w:firstLine="640" w:firstLineChars="200"/>
        <w:rPr>
          <w:rFonts w:eastAsia="方正仿宋_GBK"/>
          <w:color w:val="000000"/>
          <w:szCs w:val="32"/>
        </w:rPr>
      </w:pPr>
      <w:r>
        <w:rPr>
          <w:rFonts w:hint="eastAsia" w:eastAsia="方正仿宋_GBK"/>
          <w:color w:val="000000"/>
          <w:szCs w:val="32"/>
        </w:rPr>
        <w:t>第十四条</w:t>
      </w:r>
      <w:r>
        <w:rPr>
          <w:rFonts w:eastAsia="方正仿宋_GBK"/>
          <w:color w:val="000000"/>
          <w:szCs w:val="32"/>
        </w:rPr>
        <w:t xml:space="preserve"> </w:t>
      </w:r>
      <w:r>
        <w:rPr>
          <w:rFonts w:hint="eastAsia" w:eastAsia="方正仿宋_GBK"/>
          <w:color w:val="000000"/>
          <w:szCs w:val="32"/>
        </w:rPr>
        <w:t>资金清算</w:t>
      </w:r>
    </w:p>
    <w:p>
      <w:pPr>
        <w:spacing w:line="560" w:lineRule="exact"/>
        <w:ind w:firstLine="640" w:firstLineChars="200"/>
        <w:rPr>
          <w:rFonts w:eastAsia="方正仿宋_GBK"/>
          <w:color w:val="000000"/>
          <w:szCs w:val="32"/>
        </w:rPr>
      </w:pPr>
      <w:r>
        <w:rPr>
          <w:rFonts w:hint="eastAsia" w:eastAsia="方正仿宋_GBK"/>
          <w:color w:val="000000"/>
          <w:szCs w:val="32"/>
        </w:rPr>
        <w:t>大额大病医保年度运行结束后，按照规定进行年终资金清算，清算结果包括年度保费情况、支付情况、利息情况、赔付率、保险公司成本利润（亏损额）情况等，根据资金清算结果和保险公司考核得分情况进行成本利润（亏损额）分摊和得分排位。</w:t>
      </w:r>
    </w:p>
    <w:p>
      <w:pPr>
        <w:spacing w:line="560" w:lineRule="exact"/>
        <w:ind w:firstLine="640" w:firstLineChars="200"/>
        <w:rPr>
          <w:rFonts w:eastAsia="方正仿宋_GBK"/>
          <w:color w:val="000000"/>
          <w:szCs w:val="32"/>
        </w:rPr>
      </w:pPr>
      <w:r>
        <w:rPr>
          <w:rFonts w:hint="eastAsia" w:eastAsia="方正仿宋_GBK"/>
          <w:color w:val="000000"/>
          <w:szCs w:val="32"/>
        </w:rPr>
        <w:t>第十五条</w:t>
      </w:r>
      <w:r>
        <w:rPr>
          <w:rFonts w:eastAsia="方正仿宋_GBK"/>
          <w:color w:val="000000"/>
          <w:szCs w:val="32"/>
        </w:rPr>
        <w:t xml:space="preserve"> </w:t>
      </w:r>
      <w:r>
        <w:rPr>
          <w:rFonts w:hint="eastAsia" w:eastAsia="方正仿宋_GBK"/>
          <w:color w:val="000000"/>
          <w:szCs w:val="32"/>
        </w:rPr>
        <w:t>保险公司综合考核成本利润分摊</w:t>
      </w:r>
    </w:p>
    <w:p>
      <w:pPr>
        <w:spacing w:line="560" w:lineRule="exact"/>
        <w:ind w:firstLine="640" w:firstLineChars="200"/>
        <w:rPr>
          <w:rFonts w:eastAsia="方正仿宋_GBK"/>
          <w:color w:val="000000"/>
          <w:szCs w:val="32"/>
        </w:rPr>
      </w:pPr>
      <w:r>
        <w:rPr>
          <w:rFonts w:eastAsia="方正仿宋_GBK"/>
          <w:color w:val="000000"/>
          <w:szCs w:val="32"/>
        </w:rPr>
        <w:t>1</w:t>
      </w:r>
      <w:r>
        <w:rPr>
          <w:rFonts w:hint="eastAsia" w:eastAsia="方正仿宋_GBK"/>
          <w:color w:val="000000"/>
          <w:szCs w:val="32"/>
        </w:rPr>
        <w:t>．当全市实际赔付率小于</w:t>
      </w:r>
      <w:r>
        <w:rPr>
          <w:rFonts w:eastAsia="方正仿宋_GBK"/>
          <w:color w:val="000000"/>
          <w:szCs w:val="32"/>
        </w:rPr>
        <w:t>100%</w:t>
      </w:r>
      <w:r>
        <w:rPr>
          <w:rFonts w:hint="eastAsia" w:eastAsia="方正仿宋_GBK"/>
          <w:color w:val="000000"/>
          <w:szCs w:val="32"/>
        </w:rPr>
        <w:t>时，各保险公司的实际可得利润额按照其综合考核得分占所有保险公司综合考核得分总和的比值乘以全市经清算形成的总成本利润计算，计算公式如下：</w:t>
      </w:r>
    </w:p>
    <w:p>
      <w:pPr>
        <w:spacing w:line="560" w:lineRule="exact"/>
        <w:ind w:firstLine="640" w:firstLineChars="200"/>
        <w:rPr>
          <w:rFonts w:eastAsia="方正仿宋_GBK"/>
          <w:color w:val="000000"/>
          <w:szCs w:val="32"/>
        </w:rPr>
      </w:pPr>
      <w:r>
        <w:rPr>
          <w:rFonts w:hint="eastAsia" w:eastAsia="方正仿宋_GBK"/>
          <w:color w:val="000000"/>
          <w:szCs w:val="32"/>
        </w:rPr>
        <w:t>保险公司实际可得利润</w:t>
      </w:r>
      <w:r>
        <w:rPr>
          <w:rFonts w:eastAsia="方正仿宋_GBK"/>
          <w:color w:val="000000"/>
          <w:szCs w:val="32"/>
        </w:rPr>
        <w:t>=</w:t>
      </w:r>
      <w:r>
        <w:rPr>
          <w:rFonts w:hint="eastAsia" w:eastAsia="方正仿宋_GBK"/>
          <w:color w:val="000000"/>
          <w:szCs w:val="32"/>
        </w:rPr>
        <w:t>考核得分含金量×该保险公司综合考核得分</w:t>
      </w:r>
    </w:p>
    <w:p>
      <w:pPr>
        <w:spacing w:line="560" w:lineRule="exact"/>
        <w:ind w:firstLine="640" w:firstLineChars="200"/>
        <w:rPr>
          <w:rFonts w:eastAsia="方正仿宋_GBK"/>
          <w:color w:val="000000"/>
          <w:szCs w:val="32"/>
        </w:rPr>
      </w:pPr>
      <w:r>
        <w:rPr>
          <w:rFonts w:hint="eastAsia" w:eastAsia="方正仿宋_GBK"/>
          <w:color w:val="000000"/>
          <w:szCs w:val="32"/>
        </w:rPr>
        <w:t>其中：</w:t>
      </w:r>
    </w:p>
    <w:p>
      <w:pPr>
        <w:spacing w:line="560" w:lineRule="exact"/>
        <w:ind w:firstLine="640" w:firstLineChars="200"/>
        <w:rPr>
          <w:rFonts w:eastAsia="方正仿宋_GBK"/>
          <w:color w:val="000000"/>
          <w:szCs w:val="32"/>
        </w:rPr>
      </w:pPr>
      <w:r>
        <w:rPr>
          <w:rFonts w:hint="eastAsia" w:eastAsia="方正仿宋_GBK"/>
          <w:color w:val="000000"/>
          <w:szCs w:val="32"/>
        </w:rPr>
        <w:t>考核得分含金量</w:t>
      </w:r>
      <w:r>
        <w:rPr>
          <w:rFonts w:eastAsia="方正仿宋_GBK"/>
          <w:color w:val="000000"/>
          <w:szCs w:val="32"/>
        </w:rPr>
        <w:t>=</w:t>
      </w:r>
      <w:r>
        <w:rPr>
          <w:rFonts w:hint="eastAsia" w:eastAsia="方正仿宋_GBK"/>
          <w:color w:val="000000"/>
          <w:szCs w:val="32"/>
        </w:rPr>
        <w:t>总成本利润</w:t>
      </w:r>
      <w:r>
        <w:rPr>
          <w:rFonts w:eastAsia="方正仿宋_GBK"/>
          <w:color w:val="000000"/>
          <w:szCs w:val="32"/>
        </w:rPr>
        <w:t xml:space="preserve">/ </w:t>
      </w:r>
      <w:r>
        <w:rPr>
          <w:rFonts w:hint="eastAsia" w:eastAsia="方正仿宋_GBK"/>
          <w:color w:val="000000"/>
          <w:szCs w:val="32"/>
        </w:rPr>
        <w:t>所有保险公司的综合考核得分总和。</w:t>
      </w:r>
    </w:p>
    <w:p>
      <w:pPr>
        <w:spacing w:line="560" w:lineRule="exact"/>
        <w:ind w:firstLine="640" w:firstLineChars="200"/>
        <w:rPr>
          <w:rFonts w:eastAsia="方正仿宋_GBK"/>
          <w:color w:val="000000"/>
          <w:szCs w:val="32"/>
        </w:rPr>
      </w:pPr>
      <w:r>
        <w:rPr>
          <w:rFonts w:eastAsia="方正仿宋_GBK"/>
          <w:color w:val="000000"/>
          <w:szCs w:val="32"/>
        </w:rPr>
        <w:t>2</w:t>
      </w:r>
      <w:r>
        <w:rPr>
          <w:rFonts w:hint="eastAsia" w:eastAsia="方正仿宋_GBK"/>
          <w:color w:val="000000"/>
          <w:szCs w:val="32"/>
        </w:rPr>
        <w:t>．当全市实际赔付率大于</w:t>
      </w:r>
      <w:r>
        <w:rPr>
          <w:rFonts w:eastAsia="方正仿宋_GBK"/>
          <w:color w:val="000000"/>
          <w:szCs w:val="32"/>
        </w:rPr>
        <w:t>100%</w:t>
      </w:r>
      <w:r>
        <w:rPr>
          <w:rFonts w:hint="eastAsia" w:eastAsia="方正仿宋_GBK"/>
          <w:color w:val="000000"/>
          <w:szCs w:val="32"/>
        </w:rPr>
        <w:t>，出现亏损时，各保险公司应分担亏损额以所有保险公司应分担亏损总额的平均额为基数，根据所有保险公司平均综合考核得分与各保险公司综合考核得分之差进行加减亏损额计算，计算公式如下：</w:t>
      </w:r>
    </w:p>
    <w:p>
      <w:pPr>
        <w:spacing w:line="560" w:lineRule="exact"/>
        <w:ind w:firstLine="640" w:firstLineChars="200"/>
        <w:rPr>
          <w:rFonts w:eastAsia="方正仿宋_GBK"/>
          <w:color w:val="000000"/>
          <w:szCs w:val="32"/>
        </w:rPr>
      </w:pPr>
      <w:r>
        <w:rPr>
          <w:rFonts w:hint="eastAsia" w:eastAsia="方正仿宋_GBK"/>
          <w:color w:val="000000"/>
          <w:szCs w:val="32"/>
        </w:rPr>
        <w:t>保险公司分担亏损额</w:t>
      </w:r>
      <w:r>
        <w:rPr>
          <w:rFonts w:eastAsia="方正仿宋_GBK"/>
          <w:color w:val="000000"/>
          <w:szCs w:val="32"/>
        </w:rPr>
        <w:t>=</w:t>
      </w:r>
      <w:r>
        <w:rPr>
          <w:rFonts w:hint="eastAsia" w:eastAsia="方正仿宋_GBK"/>
          <w:color w:val="000000"/>
          <w:szCs w:val="32"/>
        </w:rPr>
        <w:t>（所有保险公司应分担亏损总额</w:t>
      </w:r>
      <w:r>
        <w:rPr>
          <w:rFonts w:eastAsia="方正仿宋_GBK"/>
          <w:color w:val="000000"/>
          <w:szCs w:val="32"/>
        </w:rPr>
        <w:t>/</w:t>
      </w:r>
      <w:r>
        <w:rPr>
          <w:rFonts w:hint="eastAsia" w:eastAsia="方正仿宋_GBK"/>
          <w:color w:val="000000"/>
          <w:szCs w:val="32"/>
        </w:rPr>
        <w:t>保险公司家数）</w:t>
      </w:r>
      <w:r>
        <w:rPr>
          <w:rFonts w:eastAsia="方正仿宋_GBK"/>
          <w:color w:val="000000"/>
          <w:szCs w:val="32"/>
        </w:rPr>
        <w:t>+</w:t>
      </w:r>
      <w:r>
        <w:rPr>
          <w:rFonts w:hint="eastAsia" w:eastAsia="方正仿宋_GBK"/>
          <w:color w:val="000000"/>
          <w:szCs w:val="32"/>
        </w:rPr>
        <w:t>（所有保险公司的综合考核得分总和</w:t>
      </w:r>
      <w:r>
        <w:rPr>
          <w:rFonts w:eastAsia="方正仿宋_GBK"/>
          <w:color w:val="000000"/>
          <w:szCs w:val="32"/>
        </w:rPr>
        <w:t>/</w:t>
      </w:r>
      <w:r>
        <w:rPr>
          <w:rFonts w:hint="eastAsia" w:eastAsia="方正仿宋_GBK"/>
          <w:color w:val="000000"/>
          <w:szCs w:val="32"/>
        </w:rPr>
        <w:t>保险公司家数</w:t>
      </w:r>
      <w:r>
        <w:rPr>
          <w:rFonts w:eastAsia="方正仿宋_GBK"/>
          <w:color w:val="000000"/>
          <w:szCs w:val="32"/>
        </w:rPr>
        <w:t>-</w:t>
      </w:r>
      <w:r>
        <w:rPr>
          <w:rFonts w:hint="eastAsia" w:eastAsia="方正仿宋_GBK"/>
          <w:color w:val="000000"/>
          <w:szCs w:val="32"/>
        </w:rPr>
        <w:t>该保险公司综合考核得分）×（所有保险公司应分担亏损总额</w:t>
      </w:r>
      <w:r>
        <w:rPr>
          <w:rFonts w:eastAsia="方正仿宋_GBK"/>
          <w:color w:val="000000"/>
          <w:szCs w:val="32"/>
        </w:rPr>
        <w:t>/</w:t>
      </w:r>
      <w:r>
        <w:rPr>
          <w:rFonts w:hint="eastAsia" w:eastAsia="方正仿宋_GBK"/>
          <w:color w:val="000000"/>
          <w:szCs w:val="32"/>
        </w:rPr>
        <w:t>所有保险公司的综合考核得分总和）</w:t>
      </w:r>
    </w:p>
    <w:p>
      <w:pPr>
        <w:spacing w:line="560" w:lineRule="exact"/>
        <w:ind w:firstLine="652" w:firstLineChars="204"/>
        <w:rPr>
          <w:rFonts w:eastAsia="方正仿宋_GBK"/>
          <w:color w:val="000000"/>
          <w:szCs w:val="32"/>
        </w:rPr>
      </w:pPr>
      <w:r>
        <w:rPr>
          <w:rFonts w:eastAsia="方正仿宋_GBK"/>
          <w:color w:val="000000"/>
          <w:szCs w:val="32"/>
        </w:rPr>
        <w:t>3</w:t>
      </w:r>
      <w:r>
        <w:rPr>
          <w:rFonts w:hint="eastAsia" w:eastAsia="方正仿宋_GBK"/>
          <w:color w:val="000000"/>
          <w:szCs w:val="32"/>
        </w:rPr>
        <w:t>．保险公司综合考核得分在合同期内连续两年处于末位的，由市医保局按合同约定解除该保险公司的大额大病医保承办服务，由备选保险公司接替开展剩余合同期内大额大病医保承办服务。</w:t>
      </w:r>
    </w:p>
    <w:p>
      <w:pPr>
        <w:spacing w:line="560" w:lineRule="exact"/>
        <w:ind w:firstLine="652" w:firstLineChars="204"/>
        <w:rPr>
          <w:rFonts w:eastAsia="方正仿宋_GBK"/>
          <w:color w:val="000000"/>
          <w:szCs w:val="32"/>
        </w:rPr>
      </w:pPr>
      <w:r>
        <w:rPr>
          <w:rFonts w:hint="eastAsia" w:eastAsia="方正仿宋_GBK"/>
          <w:color w:val="000000"/>
          <w:szCs w:val="32"/>
        </w:rPr>
        <w:t>第十六条</w:t>
      </w:r>
      <w:r>
        <w:rPr>
          <w:rFonts w:eastAsia="方正仿宋_GBK"/>
          <w:color w:val="000000"/>
          <w:szCs w:val="32"/>
        </w:rPr>
        <w:t xml:space="preserve"> </w:t>
      </w:r>
      <w:r>
        <w:rPr>
          <w:rFonts w:hint="eastAsia" w:eastAsia="方正仿宋_GBK"/>
          <w:color w:val="000000"/>
          <w:szCs w:val="32"/>
        </w:rPr>
        <w:t>保险公司分承办区县细化考核退出处理</w:t>
      </w:r>
    </w:p>
    <w:p>
      <w:pPr>
        <w:spacing w:line="560" w:lineRule="exact"/>
        <w:ind w:firstLine="652" w:firstLineChars="204"/>
        <w:rPr>
          <w:rFonts w:eastAsia="方正仿宋_GBK"/>
          <w:color w:val="000000"/>
          <w:szCs w:val="32"/>
        </w:rPr>
      </w:pPr>
      <w:r>
        <w:rPr>
          <w:rFonts w:hint="eastAsia" w:eastAsia="方正仿宋_GBK"/>
          <w:color w:val="000000"/>
          <w:szCs w:val="32"/>
        </w:rPr>
        <w:t>保险公司承办服务分区县细化考核在合同期内同一承办服务区县该险种连续两年细化考核得分处于末位的，该保险公司退出对该区县该险种承办服务，由市医保局按合同约定将该区县该险种的承办服务工作交备选保险公司接替开展剩余合同期内承办服务。</w:t>
      </w:r>
    </w:p>
    <w:p>
      <w:pPr>
        <w:jc w:val="center"/>
        <w:rPr>
          <w:rFonts w:ascii="方正黑体_GBK" w:eastAsia="方正黑体_GBK"/>
          <w:szCs w:val="32"/>
        </w:rPr>
      </w:pPr>
    </w:p>
    <w:p>
      <w:pPr>
        <w:jc w:val="center"/>
        <w:rPr>
          <w:rFonts w:ascii="方正黑体_GBK" w:eastAsia="方正黑体_GBK"/>
          <w:szCs w:val="32"/>
        </w:rPr>
      </w:pPr>
      <w:r>
        <w:rPr>
          <w:rFonts w:hint="eastAsia" w:ascii="方正黑体_GBK" w:eastAsia="方正黑体_GBK"/>
          <w:szCs w:val="32"/>
        </w:rPr>
        <w:t>第五章  其他</w:t>
      </w:r>
    </w:p>
    <w:p>
      <w:pPr>
        <w:jc w:val="center"/>
        <w:rPr>
          <w:rFonts w:ascii="方正黑体_GBK" w:eastAsia="方正黑体_GBK"/>
          <w:szCs w:val="32"/>
        </w:rPr>
      </w:pPr>
    </w:p>
    <w:p>
      <w:pPr>
        <w:spacing w:line="560" w:lineRule="exact"/>
        <w:ind w:firstLine="652" w:firstLineChars="204"/>
        <w:rPr>
          <w:rFonts w:eastAsia="方正仿宋_GBK"/>
          <w:color w:val="000000"/>
          <w:szCs w:val="32"/>
        </w:rPr>
      </w:pPr>
      <w:r>
        <w:rPr>
          <w:rFonts w:hint="eastAsia" w:eastAsia="方正仿宋_GBK"/>
          <w:color w:val="000000"/>
          <w:szCs w:val="32"/>
        </w:rPr>
        <w:t>第十七条</w:t>
      </w:r>
      <w:r>
        <w:rPr>
          <w:rFonts w:eastAsia="方正仿宋_GBK"/>
          <w:color w:val="000000"/>
          <w:szCs w:val="32"/>
        </w:rPr>
        <w:t xml:space="preserve"> </w:t>
      </w:r>
      <w:r>
        <w:rPr>
          <w:rFonts w:hint="eastAsia" w:eastAsia="方正仿宋_GBK"/>
          <w:color w:val="000000"/>
          <w:szCs w:val="32"/>
        </w:rPr>
        <w:t>本办法由市医保局负责解释。</w:t>
      </w:r>
    </w:p>
    <w:p>
      <w:pPr>
        <w:spacing w:line="560" w:lineRule="exact"/>
        <w:ind w:firstLine="652" w:firstLineChars="204"/>
        <w:rPr>
          <w:rFonts w:eastAsia="方正仿宋_GBK"/>
          <w:color w:val="000000"/>
          <w:szCs w:val="32"/>
        </w:rPr>
      </w:pPr>
      <w:r>
        <w:rPr>
          <w:rFonts w:hint="eastAsia" w:eastAsia="方正仿宋_GBK"/>
          <w:color w:val="000000"/>
          <w:szCs w:val="32"/>
        </w:rPr>
        <w:t>第十八条</w:t>
      </w:r>
      <w:r>
        <w:rPr>
          <w:rFonts w:eastAsia="方正仿宋_GBK"/>
          <w:color w:val="000000"/>
          <w:szCs w:val="32"/>
        </w:rPr>
        <w:t xml:space="preserve"> </w:t>
      </w:r>
      <w:r>
        <w:rPr>
          <w:rFonts w:hint="eastAsia" w:eastAsia="方正仿宋_GBK"/>
          <w:color w:val="000000"/>
          <w:szCs w:val="32"/>
        </w:rPr>
        <w:t>本办法自发布之日起实施。</w:t>
      </w:r>
    </w:p>
    <w:p>
      <w:pPr>
        <w:spacing w:line="560" w:lineRule="exact"/>
        <w:ind w:firstLine="652" w:firstLineChars="204"/>
        <w:rPr>
          <w:rFonts w:eastAsia="方正仿宋_GBK"/>
          <w:color w:val="000000"/>
          <w:szCs w:val="32"/>
        </w:rPr>
      </w:pPr>
    </w:p>
    <w:p>
      <w:pPr>
        <w:spacing w:line="560" w:lineRule="exact"/>
        <w:ind w:firstLine="652" w:firstLineChars="204"/>
        <w:rPr>
          <w:rFonts w:eastAsia="方正仿宋_GBK"/>
          <w:color w:val="000000"/>
          <w:szCs w:val="32"/>
        </w:rPr>
      </w:pPr>
    </w:p>
    <w:p>
      <w:pPr>
        <w:spacing w:line="560" w:lineRule="exact"/>
        <w:ind w:firstLine="652" w:firstLineChars="204"/>
        <w:rPr>
          <w:rFonts w:eastAsia="方正仿宋_GBK"/>
          <w:color w:val="000000"/>
          <w:szCs w:val="32"/>
        </w:rPr>
      </w:pPr>
      <w:r>
        <w:rPr>
          <w:rFonts w:hint="eastAsia" w:eastAsia="方正仿宋_GBK"/>
          <w:color w:val="000000"/>
          <w:szCs w:val="32"/>
        </w:rPr>
        <w:t>附件：</w:t>
      </w:r>
      <w:r>
        <w:rPr>
          <w:rFonts w:eastAsia="方正仿宋_GBK"/>
          <w:color w:val="000000"/>
          <w:szCs w:val="32"/>
        </w:rPr>
        <w:t>1</w:t>
      </w:r>
      <w:r>
        <w:rPr>
          <w:rFonts w:hint="eastAsia" w:eastAsia="方正仿宋_GBK"/>
          <w:color w:val="000000"/>
          <w:szCs w:val="32"/>
        </w:rPr>
        <w:t>．大额大病医保考核指标及评分标准</w:t>
      </w:r>
    </w:p>
    <w:p>
      <w:pPr>
        <w:spacing w:line="560" w:lineRule="exact"/>
        <w:ind w:firstLine="576" w:firstLineChars="180"/>
        <w:rPr>
          <w:rFonts w:eastAsia="方正仿宋_GBK"/>
          <w:color w:val="000000"/>
          <w:szCs w:val="32"/>
        </w:rPr>
      </w:pPr>
      <w:r>
        <w:rPr>
          <w:rFonts w:eastAsia="方正仿宋_GBK"/>
          <w:color w:val="000000"/>
          <w:szCs w:val="32"/>
        </w:rPr>
        <w:t xml:space="preserve"> </w:t>
      </w:r>
      <w:r>
        <w:rPr>
          <w:rFonts w:hint="eastAsia" w:eastAsia="方正仿宋_GBK"/>
          <w:color w:val="000000"/>
          <w:szCs w:val="32"/>
        </w:rPr>
        <w:t xml:space="preserve">　　  </w:t>
      </w:r>
      <w:r>
        <w:rPr>
          <w:rFonts w:eastAsia="方正仿宋_GBK"/>
          <w:color w:val="000000"/>
          <w:szCs w:val="32"/>
        </w:rPr>
        <w:t>2</w:t>
      </w:r>
      <w:r>
        <w:rPr>
          <w:rFonts w:hint="eastAsia" w:eastAsia="方正仿宋_GBK"/>
          <w:color w:val="000000"/>
          <w:szCs w:val="32"/>
        </w:rPr>
        <w:t>．保险公司综合考核评分情况表</w:t>
      </w:r>
    </w:p>
    <w:p>
      <w:pPr>
        <w:spacing w:line="560" w:lineRule="exact"/>
        <w:ind w:firstLine="576" w:firstLineChars="180"/>
        <w:rPr>
          <w:rFonts w:eastAsia="方正仿宋_GBK"/>
          <w:color w:val="000000"/>
          <w:szCs w:val="32"/>
        </w:rPr>
      </w:pPr>
      <w:r>
        <w:rPr>
          <w:rFonts w:eastAsia="方正仿宋_GBK"/>
          <w:color w:val="000000"/>
          <w:szCs w:val="32"/>
        </w:rPr>
        <w:t xml:space="preserve">     </w:t>
      </w:r>
      <w:r>
        <w:rPr>
          <w:rFonts w:hint="eastAsia" w:eastAsia="方正仿宋_GBK"/>
          <w:color w:val="000000"/>
          <w:szCs w:val="32"/>
        </w:rPr>
        <w:t>　</w:t>
      </w:r>
      <w:r>
        <w:rPr>
          <w:rFonts w:eastAsia="方正仿宋_GBK"/>
          <w:color w:val="000000"/>
          <w:szCs w:val="32"/>
        </w:rPr>
        <w:t>3</w:t>
      </w:r>
      <w:r>
        <w:rPr>
          <w:rFonts w:hint="eastAsia" w:eastAsia="方正仿宋_GBK"/>
          <w:color w:val="000000"/>
          <w:szCs w:val="32"/>
        </w:rPr>
        <w:t>．承办区县细化考核数据及评分情况表</w:t>
      </w:r>
    </w:p>
    <w:p>
      <w:pPr>
        <w:pStyle w:val="8"/>
        <w:spacing w:line="560" w:lineRule="exact"/>
        <w:ind w:firstLine="0" w:firstLineChars="0"/>
        <w:rPr>
          <w:rFonts w:ascii="方正仿宋_GBK" w:eastAsia="方正仿宋_GBK"/>
          <w:szCs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p>
      <w:pPr>
        <w:pStyle w:val="8"/>
        <w:spacing w:line="560" w:lineRule="exact"/>
        <w:ind w:firstLine="0" w:firstLineChars="0"/>
        <w:rPr>
          <w:rFonts w:eastAsia="方正黑体_GBK"/>
          <w:szCs w:val="32"/>
        </w:rPr>
      </w:pPr>
      <w:r>
        <w:rPr>
          <w:rFonts w:hint="eastAsia" w:eastAsia="方正黑体_GBK"/>
          <w:szCs w:val="32"/>
        </w:rPr>
        <w:t>附件1</w:t>
      </w:r>
    </w:p>
    <w:tbl>
      <w:tblPr>
        <w:tblStyle w:val="6"/>
        <w:tblW w:w="8785" w:type="dxa"/>
        <w:jc w:val="center"/>
        <w:tblLayout w:type="autofit"/>
        <w:tblCellMar>
          <w:top w:w="0" w:type="dxa"/>
          <w:left w:w="108" w:type="dxa"/>
          <w:bottom w:w="0" w:type="dxa"/>
          <w:right w:w="108" w:type="dxa"/>
        </w:tblCellMar>
      </w:tblPr>
      <w:tblGrid>
        <w:gridCol w:w="436"/>
        <w:gridCol w:w="470"/>
        <w:gridCol w:w="908"/>
        <w:gridCol w:w="572"/>
        <w:gridCol w:w="4494"/>
        <w:gridCol w:w="892"/>
        <w:gridCol w:w="1013"/>
      </w:tblGrid>
      <w:tr>
        <w:tblPrEx>
          <w:tblCellMar>
            <w:top w:w="0" w:type="dxa"/>
            <w:left w:w="108" w:type="dxa"/>
            <w:bottom w:w="0" w:type="dxa"/>
            <w:right w:w="108" w:type="dxa"/>
          </w:tblCellMar>
        </w:tblPrEx>
        <w:trPr>
          <w:trHeight w:val="525" w:hRule="atLeast"/>
          <w:jc w:val="center"/>
        </w:trPr>
        <w:tc>
          <w:tcPr>
            <w:tcW w:w="8785" w:type="dxa"/>
            <w:gridSpan w:val="7"/>
            <w:tcBorders>
              <w:top w:val="nil"/>
              <w:left w:val="nil"/>
              <w:bottom w:val="single" w:color="auto" w:sz="8" w:space="0"/>
              <w:right w:val="nil"/>
            </w:tcBorders>
            <w:shd w:val="clear" w:color="auto" w:fill="auto"/>
            <w:noWrap/>
            <w:vAlign w:val="center"/>
          </w:tcPr>
          <w:p>
            <w:pPr>
              <w:widowControl/>
              <w:spacing w:beforeLines="50" w:afterLines="50" w:line="580" w:lineRule="exact"/>
              <w:jc w:val="center"/>
              <w:rPr>
                <w:rFonts w:eastAsia="方正小标宋_GBK" w:cs="宋体"/>
                <w:color w:val="000000"/>
                <w:kern w:val="0"/>
                <w:sz w:val="44"/>
                <w:szCs w:val="44"/>
              </w:rPr>
            </w:pPr>
            <w:r>
              <w:rPr>
                <w:rFonts w:hint="eastAsia" w:eastAsia="方正小标宋_GBK" w:cs="宋体"/>
                <w:color w:val="000000"/>
                <w:kern w:val="0"/>
                <w:sz w:val="44"/>
                <w:szCs w:val="44"/>
              </w:rPr>
              <w:t>大额大病医保考核指标及评分标准</w:t>
            </w:r>
          </w:p>
        </w:tc>
      </w:tr>
      <w:tr>
        <w:tblPrEx>
          <w:tblCellMar>
            <w:top w:w="0" w:type="dxa"/>
            <w:left w:w="108" w:type="dxa"/>
            <w:bottom w:w="0" w:type="dxa"/>
            <w:right w:w="108" w:type="dxa"/>
          </w:tblCellMar>
        </w:tblPrEx>
        <w:trPr>
          <w:trHeight w:val="55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line="240" w:lineRule="exact"/>
              <w:jc w:val="center"/>
              <w:rPr>
                <w:rFonts w:eastAsia="方正黑体_GBK" w:cs="宋体"/>
                <w:color w:val="000000"/>
                <w:kern w:val="0"/>
                <w:sz w:val="22"/>
                <w:szCs w:val="22"/>
              </w:rPr>
            </w:pPr>
            <w:r>
              <w:rPr>
                <w:rFonts w:hint="eastAsia" w:eastAsia="方正黑体_GBK" w:cs="宋体"/>
                <w:color w:val="000000"/>
                <w:kern w:val="0"/>
                <w:sz w:val="22"/>
                <w:szCs w:val="22"/>
              </w:rPr>
              <w:t>序号</w:t>
            </w:r>
          </w:p>
        </w:tc>
        <w:tc>
          <w:tcPr>
            <w:tcW w:w="470"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方正黑体_GBK" w:cs="宋体"/>
                <w:color w:val="000000"/>
                <w:kern w:val="0"/>
                <w:sz w:val="22"/>
                <w:szCs w:val="22"/>
              </w:rPr>
            </w:pPr>
            <w:r>
              <w:rPr>
                <w:rFonts w:hint="eastAsia" w:eastAsia="方正黑体_GBK" w:cs="宋体"/>
                <w:color w:val="000000"/>
                <w:kern w:val="0"/>
                <w:sz w:val="22"/>
                <w:szCs w:val="22"/>
              </w:rPr>
              <w:t>分类</w:t>
            </w: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方正黑体_GBK" w:cs="宋体"/>
                <w:color w:val="000000"/>
                <w:kern w:val="0"/>
                <w:sz w:val="22"/>
                <w:szCs w:val="22"/>
              </w:rPr>
            </w:pPr>
            <w:r>
              <w:rPr>
                <w:rFonts w:hint="eastAsia" w:eastAsia="方正黑体_GBK" w:cs="宋体"/>
                <w:color w:val="000000"/>
                <w:kern w:val="0"/>
                <w:sz w:val="22"/>
                <w:szCs w:val="22"/>
              </w:rPr>
              <w:t>指标项</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方正黑体_GBK" w:cs="宋体"/>
                <w:color w:val="000000"/>
                <w:kern w:val="0"/>
                <w:sz w:val="22"/>
                <w:szCs w:val="22"/>
              </w:rPr>
            </w:pPr>
            <w:r>
              <w:rPr>
                <w:rFonts w:hint="eastAsia" w:eastAsia="方正黑体_GBK" w:cs="宋体"/>
                <w:color w:val="000000"/>
                <w:kern w:val="0"/>
                <w:sz w:val="22"/>
                <w:szCs w:val="22"/>
              </w:rPr>
              <w:t>标准分</w:t>
            </w:r>
          </w:p>
        </w:tc>
        <w:tc>
          <w:tcPr>
            <w:tcW w:w="4494"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方正黑体_GBK" w:cs="宋体"/>
                <w:color w:val="000000"/>
                <w:kern w:val="0"/>
                <w:sz w:val="22"/>
                <w:szCs w:val="22"/>
              </w:rPr>
            </w:pPr>
            <w:r>
              <w:rPr>
                <w:rFonts w:hint="eastAsia" w:eastAsia="方正黑体_GBK" w:cs="宋体"/>
                <w:color w:val="000000"/>
                <w:kern w:val="0"/>
                <w:sz w:val="22"/>
                <w:szCs w:val="22"/>
              </w:rPr>
              <w:t>评分标准</w:t>
            </w:r>
          </w:p>
        </w:tc>
        <w:tc>
          <w:tcPr>
            <w:tcW w:w="892"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方正黑体_GBK" w:cs="宋体"/>
                <w:color w:val="000000"/>
                <w:kern w:val="0"/>
                <w:sz w:val="22"/>
                <w:szCs w:val="22"/>
              </w:rPr>
            </w:pPr>
            <w:r>
              <w:rPr>
                <w:rFonts w:hint="eastAsia" w:eastAsia="方正黑体_GBK" w:cs="宋体"/>
                <w:color w:val="000000"/>
                <w:kern w:val="0"/>
                <w:sz w:val="22"/>
                <w:szCs w:val="22"/>
              </w:rPr>
              <w:t>大额承办考核得分</w:t>
            </w:r>
          </w:p>
        </w:tc>
        <w:tc>
          <w:tcPr>
            <w:tcW w:w="1013"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方正黑体_GBK" w:cs="宋体"/>
                <w:color w:val="000000"/>
                <w:kern w:val="0"/>
                <w:sz w:val="22"/>
                <w:szCs w:val="22"/>
              </w:rPr>
            </w:pPr>
            <w:r>
              <w:rPr>
                <w:rFonts w:hint="eastAsia" w:eastAsia="方正黑体_GBK" w:cs="宋体"/>
                <w:color w:val="000000"/>
                <w:kern w:val="0"/>
                <w:sz w:val="22"/>
                <w:szCs w:val="22"/>
              </w:rPr>
              <w:t>大病承办考核得分</w:t>
            </w:r>
          </w:p>
        </w:tc>
      </w:tr>
      <w:tr>
        <w:tblPrEx>
          <w:tblCellMar>
            <w:top w:w="0" w:type="dxa"/>
            <w:left w:w="108" w:type="dxa"/>
            <w:bottom w:w="0" w:type="dxa"/>
            <w:right w:w="108" w:type="dxa"/>
          </w:tblCellMar>
        </w:tblPrEx>
        <w:trPr>
          <w:trHeight w:val="1770"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1</w:t>
            </w:r>
          </w:p>
        </w:tc>
        <w:tc>
          <w:tcPr>
            <w:tcW w:w="470" w:type="dxa"/>
            <w:vMerge w:val="restart"/>
            <w:tcBorders>
              <w:top w:val="nil"/>
              <w:left w:val="single" w:color="auto" w:sz="8" w:space="0"/>
              <w:bottom w:val="single" w:color="000000"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人员管理</w:t>
            </w: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人员配备率</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15</w:t>
            </w:r>
          </w:p>
        </w:tc>
        <w:tc>
          <w:tcPr>
            <w:tcW w:w="4494" w:type="dxa"/>
            <w:tcBorders>
              <w:top w:val="nil"/>
              <w:left w:val="nil"/>
              <w:bottom w:val="single" w:color="auto" w:sz="8" w:space="0"/>
              <w:right w:val="single" w:color="auto" w:sz="8" w:space="0"/>
            </w:tcBorders>
            <w:shd w:val="clear" w:color="auto" w:fill="auto"/>
            <w:vAlign w:val="center"/>
          </w:tcPr>
          <w:p>
            <w:pPr>
              <w:widowControl/>
              <w:snapToGrid w:val="0"/>
              <w:spacing w:line="240" w:lineRule="exact"/>
              <w:rPr>
                <w:rFonts w:eastAsia="宋体" w:cs="宋体"/>
                <w:kern w:val="0"/>
                <w:sz w:val="22"/>
                <w:szCs w:val="22"/>
              </w:rPr>
            </w:pPr>
            <w:r>
              <w:rPr>
                <w:rFonts w:hint="eastAsia" w:hAnsi="宋体" w:eastAsia="宋体" w:cs="宋体"/>
                <w:kern w:val="0"/>
                <w:sz w:val="22"/>
                <w:szCs w:val="22"/>
              </w:rPr>
              <w:t>按承办服务合同要求配备合署办公人员数量（以下简称配备人员数量）。按要求配备人员数量的得标准分；超员配备的，按超员比例与该项标准分得分的乘积加分，加分最高不超过</w:t>
            </w:r>
            <w:r>
              <w:rPr>
                <w:rFonts w:eastAsia="宋体" w:cs="宋体"/>
                <w:kern w:val="0"/>
                <w:sz w:val="22"/>
                <w:szCs w:val="22"/>
              </w:rPr>
              <w:t>3</w:t>
            </w:r>
            <w:r>
              <w:rPr>
                <w:rFonts w:hint="eastAsia" w:hAnsi="宋体" w:eastAsia="宋体" w:cs="宋体"/>
                <w:kern w:val="0"/>
                <w:sz w:val="22"/>
                <w:szCs w:val="22"/>
              </w:rPr>
              <w:t>分；配备不足的，每少</w:t>
            </w:r>
            <w:r>
              <w:rPr>
                <w:rFonts w:eastAsia="宋体" w:cs="宋体"/>
                <w:kern w:val="0"/>
                <w:sz w:val="22"/>
                <w:szCs w:val="22"/>
              </w:rPr>
              <w:t>1</w:t>
            </w:r>
            <w:r>
              <w:rPr>
                <w:rFonts w:hint="eastAsia" w:hAnsi="宋体" w:eastAsia="宋体" w:cs="宋体"/>
                <w:kern w:val="0"/>
                <w:sz w:val="22"/>
                <w:szCs w:val="22"/>
              </w:rPr>
              <w:t>名扣</w:t>
            </w:r>
            <w:r>
              <w:rPr>
                <w:rFonts w:eastAsia="宋体" w:cs="宋体"/>
                <w:kern w:val="0"/>
                <w:sz w:val="22"/>
                <w:szCs w:val="22"/>
              </w:rPr>
              <w:t>0.5</w:t>
            </w:r>
            <w:r>
              <w:rPr>
                <w:rFonts w:hint="eastAsia" w:hAnsi="宋体" w:eastAsia="宋体" w:cs="宋体"/>
                <w:kern w:val="0"/>
                <w:sz w:val="22"/>
                <w:szCs w:val="22"/>
              </w:rPr>
              <w:t>分，扣完为止。配备人员数量以每年度</w:t>
            </w:r>
            <w:r>
              <w:rPr>
                <w:rFonts w:eastAsia="宋体" w:cs="宋体"/>
                <w:kern w:val="0"/>
                <w:sz w:val="22"/>
                <w:szCs w:val="22"/>
              </w:rPr>
              <w:t>1</w:t>
            </w:r>
            <w:r>
              <w:rPr>
                <w:rFonts w:hint="eastAsia" w:hAnsi="宋体" w:eastAsia="宋体" w:cs="宋体"/>
                <w:kern w:val="0"/>
                <w:sz w:val="22"/>
                <w:szCs w:val="22"/>
              </w:rPr>
              <w:t>月底前到位人员数量确定（</w:t>
            </w:r>
            <w:r>
              <w:rPr>
                <w:rFonts w:eastAsia="宋体" w:cs="宋体"/>
                <w:kern w:val="0"/>
                <w:sz w:val="22"/>
                <w:szCs w:val="22"/>
              </w:rPr>
              <w:t>2019</w:t>
            </w:r>
            <w:r>
              <w:rPr>
                <w:rFonts w:hint="eastAsia" w:hAnsi="宋体" w:eastAsia="宋体" w:cs="宋体"/>
                <w:kern w:val="0"/>
                <w:sz w:val="22"/>
                <w:szCs w:val="22"/>
              </w:rPr>
              <w:t>年以</w:t>
            </w:r>
            <w:r>
              <w:rPr>
                <w:rFonts w:eastAsia="宋体" w:cs="宋体"/>
                <w:kern w:val="0"/>
                <w:sz w:val="22"/>
                <w:szCs w:val="22"/>
              </w:rPr>
              <w:t>8</w:t>
            </w:r>
            <w:r>
              <w:rPr>
                <w:rFonts w:hint="eastAsia" w:hAnsi="宋体" w:eastAsia="宋体" w:cs="宋体"/>
                <w:kern w:val="0"/>
                <w:sz w:val="22"/>
                <w:szCs w:val="22"/>
              </w:rPr>
              <w:t>月底前到位人员数量确定），中途未经医保部门同意而减少的，按少配人员数统计。</w:t>
            </w:r>
          </w:p>
        </w:tc>
        <w:tc>
          <w:tcPr>
            <w:tcW w:w="1905" w:type="dxa"/>
            <w:gridSpan w:val="2"/>
            <w:tcBorders>
              <w:top w:val="single" w:color="auto" w:sz="8" w:space="0"/>
              <w:left w:val="nil"/>
              <w:bottom w:val="single" w:color="auto" w:sz="8" w:space="0"/>
              <w:right w:val="single" w:color="000000"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665"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2</w:t>
            </w:r>
          </w:p>
        </w:tc>
        <w:tc>
          <w:tcPr>
            <w:tcW w:w="470" w:type="dxa"/>
            <w:vMerge w:val="continue"/>
            <w:tcBorders>
              <w:top w:val="nil"/>
              <w:left w:val="single" w:color="auto" w:sz="8" w:space="0"/>
              <w:bottom w:val="single" w:color="000000" w:sz="8" w:space="0"/>
              <w:right w:val="single" w:color="auto" w:sz="8" w:space="0"/>
            </w:tcBorders>
            <w:vAlign w:val="center"/>
          </w:tcPr>
          <w:p>
            <w:pPr>
              <w:widowControl/>
              <w:snapToGrid w:val="0"/>
              <w:spacing w:line="240" w:lineRule="exact"/>
              <w:jc w:val="left"/>
              <w:rPr>
                <w:rFonts w:eastAsia="宋体" w:cs="宋体"/>
                <w:color w:val="000000"/>
                <w:kern w:val="0"/>
                <w:sz w:val="22"/>
                <w:szCs w:val="22"/>
              </w:rPr>
            </w:pP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医学人员配备率</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15</w:t>
            </w:r>
          </w:p>
        </w:tc>
        <w:tc>
          <w:tcPr>
            <w:tcW w:w="4494" w:type="dxa"/>
            <w:tcBorders>
              <w:top w:val="nil"/>
              <w:left w:val="nil"/>
              <w:bottom w:val="single" w:color="auto" w:sz="8" w:space="0"/>
              <w:right w:val="single" w:color="auto" w:sz="8" w:space="0"/>
            </w:tcBorders>
            <w:shd w:val="clear" w:color="auto" w:fill="auto"/>
            <w:vAlign w:val="center"/>
          </w:tcPr>
          <w:p>
            <w:pPr>
              <w:widowControl/>
              <w:snapToGrid w:val="0"/>
              <w:spacing w:line="240" w:lineRule="exact"/>
              <w:rPr>
                <w:rFonts w:eastAsia="宋体" w:cs="宋体"/>
                <w:kern w:val="0"/>
                <w:sz w:val="22"/>
                <w:szCs w:val="22"/>
              </w:rPr>
            </w:pPr>
            <w:r>
              <w:rPr>
                <w:rFonts w:hint="eastAsia" w:hAnsi="宋体" w:eastAsia="宋体" w:cs="宋体"/>
                <w:kern w:val="0"/>
                <w:sz w:val="22"/>
                <w:szCs w:val="22"/>
              </w:rPr>
              <w:t>按承办服务合同要求配备医学合署办公人员数量。按要求配备医学人员数量的得标准分；超员配备的，按超员比例与该项标准分得分的乘积加分，加分最高不超过</w:t>
            </w:r>
            <w:r>
              <w:rPr>
                <w:rFonts w:eastAsia="宋体" w:cs="宋体"/>
                <w:kern w:val="0"/>
                <w:sz w:val="22"/>
                <w:szCs w:val="22"/>
              </w:rPr>
              <w:t>2</w:t>
            </w:r>
            <w:r>
              <w:rPr>
                <w:rFonts w:hint="eastAsia" w:hAnsi="宋体" w:eastAsia="宋体" w:cs="宋体"/>
                <w:kern w:val="0"/>
                <w:sz w:val="22"/>
                <w:szCs w:val="22"/>
              </w:rPr>
              <w:t>分；配备不足的，每少</w:t>
            </w:r>
            <w:r>
              <w:rPr>
                <w:rFonts w:eastAsia="宋体" w:cs="宋体"/>
                <w:kern w:val="0"/>
                <w:sz w:val="22"/>
                <w:szCs w:val="22"/>
              </w:rPr>
              <w:t>1</w:t>
            </w:r>
            <w:r>
              <w:rPr>
                <w:rFonts w:hint="eastAsia" w:hAnsi="宋体" w:eastAsia="宋体" w:cs="宋体"/>
                <w:kern w:val="0"/>
                <w:sz w:val="22"/>
                <w:szCs w:val="22"/>
              </w:rPr>
              <w:t>名扣</w:t>
            </w:r>
            <w:r>
              <w:rPr>
                <w:rFonts w:eastAsia="宋体" w:cs="宋体"/>
                <w:kern w:val="0"/>
                <w:sz w:val="22"/>
                <w:szCs w:val="22"/>
              </w:rPr>
              <w:t>1</w:t>
            </w:r>
            <w:r>
              <w:rPr>
                <w:rFonts w:hint="eastAsia" w:hAnsi="宋体" w:eastAsia="宋体" w:cs="宋体"/>
                <w:kern w:val="0"/>
                <w:sz w:val="22"/>
                <w:szCs w:val="22"/>
              </w:rPr>
              <w:t>分，扣完为止。医学配备人员数量以每年度</w:t>
            </w:r>
            <w:r>
              <w:rPr>
                <w:rFonts w:eastAsia="宋体" w:cs="宋体"/>
                <w:kern w:val="0"/>
                <w:sz w:val="22"/>
                <w:szCs w:val="22"/>
              </w:rPr>
              <w:t>1</w:t>
            </w:r>
            <w:r>
              <w:rPr>
                <w:rFonts w:hint="eastAsia" w:hAnsi="宋体" w:eastAsia="宋体" w:cs="宋体"/>
                <w:kern w:val="0"/>
                <w:sz w:val="22"/>
                <w:szCs w:val="22"/>
              </w:rPr>
              <w:t>月底前到位人员数量确定（</w:t>
            </w:r>
            <w:r>
              <w:rPr>
                <w:rFonts w:eastAsia="宋体" w:cs="宋体"/>
                <w:kern w:val="0"/>
                <w:sz w:val="22"/>
                <w:szCs w:val="22"/>
              </w:rPr>
              <w:t>2019</w:t>
            </w:r>
            <w:r>
              <w:rPr>
                <w:rFonts w:hint="eastAsia" w:hAnsi="宋体" w:eastAsia="宋体" w:cs="宋体"/>
                <w:kern w:val="0"/>
                <w:sz w:val="22"/>
                <w:szCs w:val="22"/>
              </w:rPr>
              <w:t>年以</w:t>
            </w:r>
            <w:r>
              <w:rPr>
                <w:rFonts w:eastAsia="宋体" w:cs="宋体"/>
                <w:kern w:val="0"/>
                <w:sz w:val="22"/>
                <w:szCs w:val="22"/>
              </w:rPr>
              <w:t>8</w:t>
            </w:r>
            <w:r>
              <w:rPr>
                <w:rFonts w:hint="eastAsia" w:hAnsi="宋体" w:eastAsia="宋体" w:cs="宋体"/>
                <w:kern w:val="0"/>
                <w:sz w:val="22"/>
                <w:szCs w:val="22"/>
              </w:rPr>
              <w:t>月底前到位人员数量确定），中途未经医保部门同意而减少的，按少配人员数统计。</w:t>
            </w:r>
          </w:p>
        </w:tc>
        <w:tc>
          <w:tcPr>
            <w:tcW w:w="1905" w:type="dxa"/>
            <w:gridSpan w:val="2"/>
            <w:tcBorders>
              <w:top w:val="single" w:color="auto" w:sz="8" w:space="0"/>
              <w:left w:val="nil"/>
              <w:bottom w:val="single" w:color="auto" w:sz="8" w:space="0"/>
              <w:right w:val="single" w:color="000000"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297"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3</w:t>
            </w:r>
          </w:p>
        </w:tc>
        <w:tc>
          <w:tcPr>
            <w:tcW w:w="470" w:type="dxa"/>
            <w:vMerge w:val="restart"/>
            <w:tcBorders>
              <w:top w:val="nil"/>
              <w:left w:val="single" w:color="auto" w:sz="8" w:space="0"/>
              <w:bottom w:val="single" w:color="000000"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日常工作</w:t>
            </w: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结算　效率★</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5</w:t>
            </w:r>
          </w:p>
        </w:tc>
        <w:tc>
          <w:tcPr>
            <w:tcW w:w="4494" w:type="dxa"/>
            <w:tcBorders>
              <w:top w:val="nil"/>
              <w:left w:val="nil"/>
              <w:bottom w:val="single" w:color="auto" w:sz="8" w:space="0"/>
              <w:right w:val="single" w:color="auto" w:sz="8" w:space="0"/>
            </w:tcBorders>
            <w:shd w:val="clear" w:color="auto" w:fill="auto"/>
            <w:vAlign w:val="center"/>
          </w:tcPr>
          <w:p>
            <w:pPr>
              <w:snapToGrid w:val="0"/>
              <w:spacing w:line="240" w:lineRule="exact"/>
              <w:rPr>
                <w:rFonts w:eastAsia="宋体" w:cs="宋体"/>
                <w:kern w:val="0"/>
                <w:sz w:val="22"/>
                <w:szCs w:val="22"/>
              </w:rPr>
            </w:pPr>
            <w:r>
              <w:rPr>
                <w:rFonts w:hint="eastAsia" w:hAnsi="宋体" w:eastAsia="宋体" w:cs="宋体"/>
                <w:kern w:val="0"/>
                <w:sz w:val="22"/>
                <w:szCs w:val="22"/>
              </w:rPr>
              <w:t>按规定时间及要求完成费用结算及确认的得满分。出现延迟完成结算确认和分账确认的，</w:t>
            </w:r>
            <w:r>
              <w:rPr>
                <w:rFonts w:eastAsia="宋体" w:cs="宋体"/>
                <w:kern w:val="0"/>
                <w:sz w:val="22"/>
                <w:szCs w:val="22"/>
              </w:rPr>
              <w:t>1</w:t>
            </w:r>
            <w:r>
              <w:rPr>
                <w:rFonts w:hint="eastAsia" w:hAnsi="宋体" w:eastAsia="宋体" w:cs="宋体"/>
                <w:kern w:val="0"/>
                <w:sz w:val="22"/>
                <w:szCs w:val="22"/>
              </w:rPr>
              <w:t>次扣</w:t>
            </w:r>
            <w:r>
              <w:rPr>
                <w:rFonts w:eastAsia="宋体" w:cs="宋体"/>
                <w:kern w:val="0"/>
                <w:sz w:val="22"/>
                <w:szCs w:val="22"/>
              </w:rPr>
              <w:t>0.1</w:t>
            </w:r>
            <w:r>
              <w:rPr>
                <w:rFonts w:hint="eastAsia" w:hAnsi="宋体" w:eastAsia="宋体" w:cs="宋体"/>
                <w:kern w:val="0"/>
                <w:sz w:val="22"/>
                <w:szCs w:val="22"/>
              </w:rPr>
              <w:t>分，累计</w:t>
            </w:r>
            <w:r>
              <w:rPr>
                <w:rFonts w:eastAsia="宋体" w:cs="宋体"/>
                <w:kern w:val="0"/>
                <w:sz w:val="22"/>
                <w:szCs w:val="22"/>
              </w:rPr>
              <w:t>2</w:t>
            </w:r>
            <w:r>
              <w:rPr>
                <w:rFonts w:hint="eastAsia" w:hAnsi="宋体" w:eastAsia="宋体" w:cs="宋体"/>
                <w:kern w:val="0"/>
                <w:sz w:val="22"/>
                <w:szCs w:val="22"/>
              </w:rPr>
              <w:t>次扣</w:t>
            </w:r>
            <w:r>
              <w:rPr>
                <w:rFonts w:eastAsia="宋体" w:cs="宋体"/>
                <w:kern w:val="0"/>
                <w:sz w:val="22"/>
                <w:szCs w:val="22"/>
              </w:rPr>
              <w:t>0.3</w:t>
            </w:r>
            <w:r>
              <w:rPr>
                <w:rFonts w:hint="eastAsia" w:hAnsi="宋体" w:eastAsia="宋体" w:cs="宋体"/>
                <w:kern w:val="0"/>
                <w:sz w:val="22"/>
                <w:szCs w:val="22"/>
              </w:rPr>
              <w:t>分，累计</w:t>
            </w:r>
            <w:r>
              <w:rPr>
                <w:rFonts w:eastAsia="宋体" w:cs="宋体"/>
                <w:kern w:val="0"/>
                <w:sz w:val="22"/>
                <w:szCs w:val="22"/>
              </w:rPr>
              <w:t>3</w:t>
            </w:r>
            <w:r>
              <w:rPr>
                <w:rFonts w:hint="eastAsia" w:hAnsi="宋体" w:eastAsia="宋体" w:cs="宋体"/>
                <w:kern w:val="0"/>
                <w:sz w:val="22"/>
                <w:szCs w:val="22"/>
              </w:rPr>
              <w:t>次扣</w:t>
            </w:r>
            <w:r>
              <w:rPr>
                <w:rFonts w:eastAsia="宋体" w:cs="宋体"/>
                <w:kern w:val="0"/>
                <w:sz w:val="22"/>
                <w:szCs w:val="22"/>
              </w:rPr>
              <w:t>0.5</w:t>
            </w:r>
            <w:r>
              <w:rPr>
                <w:rFonts w:hint="eastAsia" w:hAnsi="宋体" w:eastAsia="宋体" w:cs="宋体"/>
                <w:kern w:val="0"/>
                <w:sz w:val="22"/>
                <w:szCs w:val="22"/>
              </w:rPr>
              <w:t>分，累计</w:t>
            </w:r>
            <w:r>
              <w:rPr>
                <w:rFonts w:eastAsia="宋体" w:cs="宋体"/>
                <w:kern w:val="0"/>
                <w:sz w:val="22"/>
                <w:szCs w:val="22"/>
              </w:rPr>
              <w:t>3</w:t>
            </w:r>
            <w:r>
              <w:rPr>
                <w:rFonts w:hint="eastAsia" w:hAnsi="宋体" w:eastAsia="宋体" w:cs="宋体"/>
                <w:kern w:val="0"/>
                <w:sz w:val="22"/>
                <w:szCs w:val="22"/>
              </w:rPr>
              <w:t>次以上每增加</w:t>
            </w:r>
            <w:r>
              <w:rPr>
                <w:rFonts w:eastAsia="宋体" w:cs="宋体"/>
                <w:kern w:val="0"/>
                <w:sz w:val="22"/>
                <w:szCs w:val="22"/>
              </w:rPr>
              <w:t>1</w:t>
            </w:r>
            <w:r>
              <w:rPr>
                <w:rFonts w:hint="eastAsia" w:hAnsi="宋体" w:eastAsia="宋体" w:cs="宋体"/>
                <w:kern w:val="0"/>
                <w:sz w:val="22"/>
                <w:szCs w:val="22"/>
              </w:rPr>
              <w:t>次扣</w:t>
            </w:r>
            <w:r>
              <w:rPr>
                <w:rFonts w:eastAsia="宋体" w:cs="宋体"/>
                <w:kern w:val="0"/>
                <w:sz w:val="22"/>
                <w:szCs w:val="22"/>
              </w:rPr>
              <w:t>0.2</w:t>
            </w:r>
            <w:r>
              <w:rPr>
                <w:rFonts w:hint="eastAsia" w:hAnsi="宋体" w:eastAsia="宋体" w:cs="宋体"/>
                <w:kern w:val="0"/>
                <w:sz w:val="22"/>
                <w:szCs w:val="22"/>
              </w:rPr>
              <w:t>分，累计达</w:t>
            </w:r>
            <w:r>
              <w:rPr>
                <w:rFonts w:eastAsia="宋体" w:cs="宋体"/>
                <w:kern w:val="0"/>
                <w:sz w:val="22"/>
                <w:szCs w:val="22"/>
              </w:rPr>
              <w:t>7</w:t>
            </w:r>
            <w:r>
              <w:rPr>
                <w:rFonts w:hint="eastAsia" w:hAnsi="宋体" w:eastAsia="宋体" w:cs="宋体"/>
                <w:kern w:val="0"/>
                <w:sz w:val="22"/>
                <w:szCs w:val="22"/>
              </w:rPr>
              <w:t>次及以上，本项目不得分。本项标准分扣完为止。</w:t>
            </w:r>
          </w:p>
        </w:tc>
        <w:tc>
          <w:tcPr>
            <w:tcW w:w="892"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c>
          <w:tcPr>
            <w:tcW w:w="1013"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185"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4</w:t>
            </w:r>
          </w:p>
        </w:tc>
        <w:tc>
          <w:tcPr>
            <w:tcW w:w="470" w:type="dxa"/>
            <w:vMerge w:val="continue"/>
            <w:tcBorders>
              <w:top w:val="nil"/>
              <w:left w:val="single" w:color="auto" w:sz="8" w:space="0"/>
              <w:bottom w:val="single" w:color="000000" w:sz="8" w:space="0"/>
              <w:right w:val="single" w:color="auto" w:sz="8" w:space="0"/>
            </w:tcBorders>
            <w:vAlign w:val="center"/>
          </w:tcPr>
          <w:p>
            <w:pPr>
              <w:widowControl/>
              <w:snapToGrid w:val="0"/>
              <w:spacing w:line="240" w:lineRule="exact"/>
              <w:jc w:val="left"/>
              <w:rPr>
                <w:rFonts w:eastAsia="宋体" w:cs="宋体"/>
                <w:color w:val="000000"/>
                <w:kern w:val="0"/>
                <w:sz w:val="22"/>
                <w:szCs w:val="22"/>
              </w:rPr>
            </w:pP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支付　效率</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5</w:t>
            </w:r>
          </w:p>
        </w:tc>
        <w:tc>
          <w:tcPr>
            <w:tcW w:w="4494" w:type="dxa"/>
            <w:tcBorders>
              <w:top w:val="nil"/>
              <w:left w:val="nil"/>
              <w:bottom w:val="single" w:color="auto" w:sz="8" w:space="0"/>
              <w:right w:val="single" w:color="auto" w:sz="8" w:space="0"/>
            </w:tcBorders>
            <w:shd w:val="clear" w:color="auto" w:fill="auto"/>
            <w:vAlign w:val="center"/>
          </w:tcPr>
          <w:p>
            <w:pPr>
              <w:snapToGrid w:val="0"/>
              <w:spacing w:line="240" w:lineRule="exact"/>
              <w:rPr>
                <w:rFonts w:eastAsia="宋体" w:cs="宋体"/>
                <w:kern w:val="0"/>
                <w:sz w:val="22"/>
                <w:szCs w:val="22"/>
              </w:rPr>
            </w:pPr>
            <w:r>
              <w:rPr>
                <w:rFonts w:hint="eastAsia" w:hAnsi="宋体" w:eastAsia="宋体" w:cs="宋体"/>
                <w:kern w:val="0"/>
                <w:sz w:val="22"/>
                <w:szCs w:val="22"/>
              </w:rPr>
              <w:t>按规定时间及要求完成费用划拨及支付的得满分。出现延迟划拨结算费用和清算费用的，</w:t>
            </w:r>
            <w:r>
              <w:rPr>
                <w:rFonts w:eastAsia="宋体" w:cs="宋体"/>
                <w:kern w:val="0"/>
                <w:sz w:val="22"/>
                <w:szCs w:val="22"/>
              </w:rPr>
              <w:t>1</w:t>
            </w:r>
            <w:r>
              <w:rPr>
                <w:rFonts w:hint="eastAsia" w:hAnsi="宋体" w:eastAsia="宋体" w:cs="宋体"/>
                <w:kern w:val="0"/>
                <w:sz w:val="22"/>
                <w:szCs w:val="22"/>
              </w:rPr>
              <w:t>次扣</w:t>
            </w:r>
            <w:r>
              <w:rPr>
                <w:rFonts w:eastAsia="宋体" w:cs="宋体"/>
                <w:kern w:val="0"/>
                <w:sz w:val="22"/>
                <w:szCs w:val="22"/>
              </w:rPr>
              <w:t>0.1</w:t>
            </w:r>
            <w:r>
              <w:rPr>
                <w:rFonts w:hint="eastAsia" w:hAnsi="宋体" w:eastAsia="宋体" w:cs="宋体"/>
                <w:kern w:val="0"/>
                <w:sz w:val="22"/>
                <w:szCs w:val="22"/>
              </w:rPr>
              <w:t>分，累计</w:t>
            </w:r>
            <w:r>
              <w:rPr>
                <w:rFonts w:eastAsia="宋体" w:cs="宋体"/>
                <w:kern w:val="0"/>
                <w:sz w:val="22"/>
                <w:szCs w:val="22"/>
              </w:rPr>
              <w:t>2</w:t>
            </w:r>
            <w:r>
              <w:rPr>
                <w:rFonts w:hint="eastAsia" w:hAnsi="宋体" w:eastAsia="宋体" w:cs="宋体"/>
                <w:kern w:val="0"/>
                <w:sz w:val="22"/>
                <w:szCs w:val="22"/>
              </w:rPr>
              <w:t>次扣</w:t>
            </w:r>
            <w:r>
              <w:rPr>
                <w:rFonts w:eastAsia="宋体" w:cs="宋体"/>
                <w:kern w:val="0"/>
                <w:sz w:val="22"/>
                <w:szCs w:val="22"/>
              </w:rPr>
              <w:t>0.3</w:t>
            </w:r>
            <w:r>
              <w:rPr>
                <w:rFonts w:hint="eastAsia" w:hAnsi="宋体" w:eastAsia="宋体" w:cs="宋体"/>
                <w:kern w:val="0"/>
                <w:sz w:val="22"/>
                <w:szCs w:val="22"/>
              </w:rPr>
              <w:t>分，累计</w:t>
            </w:r>
            <w:r>
              <w:rPr>
                <w:rFonts w:eastAsia="宋体" w:cs="宋体"/>
                <w:kern w:val="0"/>
                <w:sz w:val="22"/>
                <w:szCs w:val="22"/>
              </w:rPr>
              <w:t>3</w:t>
            </w:r>
            <w:r>
              <w:rPr>
                <w:rFonts w:hint="eastAsia" w:hAnsi="宋体" w:eastAsia="宋体" w:cs="宋体"/>
                <w:kern w:val="0"/>
                <w:sz w:val="22"/>
                <w:szCs w:val="22"/>
              </w:rPr>
              <w:t>次扣</w:t>
            </w:r>
            <w:r>
              <w:rPr>
                <w:rFonts w:eastAsia="宋体" w:cs="宋体"/>
                <w:kern w:val="0"/>
                <w:sz w:val="22"/>
                <w:szCs w:val="22"/>
              </w:rPr>
              <w:t>0.5</w:t>
            </w:r>
            <w:r>
              <w:rPr>
                <w:rFonts w:hint="eastAsia" w:hAnsi="宋体" w:eastAsia="宋体" w:cs="宋体"/>
                <w:kern w:val="0"/>
                <w:sz w:val="22"/>
                <w:szCs w:val="22"/>
              </w:rPr>
              <w:t>分，累计</w:t>
            </w:r>
            <w:r>
              <w:rPr>
                <w:rFonts w:eastAsia="宋体" w:cs="宋体"/>
                <w:kern w:val="0"/>
                <w:sz w:val="22"/>
                <w:szCs w:val="22"/>
              </w:rPr>
              <w:t>3</w:t>
            </w:r>
            <w:r>
              <w:rPr>
                <w:rFonts w:hint="eastAsia" w:hAnsi="宋体" w:eastAsia="宋体" w:cs="宋体"/>
                <w:kern w:val="0"/>
                <w:sz w:val="22"/>
                <w:szCs w:val="22"/>
              </w:rPr>
              <w:t>次以上每增加</w:t>
            </w:r>
            <w:r>
              <w:rPr>
                <w:rFonts w:eastAsia="宋体" w:cs="宋体"/>
                <w:kern w:val="0"/>
                <w:sz w:val="22"/>
                <w:szCs w:val="22"/>
              </w:rPr>
              <w:t>1</w:t>
            </w:r>
            <w:r>
              <w:rPr>
                <w:rFonts w:hint="eastAsia" w:hAnsi="宋体" w:eastAsia="宋体" w:cs="宋体"/>
                <w:kern w:val="0"/>
                <w:sz w:val="22"/>
                <w:szCs w:val="22"/>
              </w:rPr>
              <w:t>次扣</w:t>
            </w:r>
            <w:r>
              <w:rPr>
                <w:rFonts w:eastAsia="宋体" w:cs="宋体"/>
                <w:kern w:val="0"/>
                <w:sz w:val="22"/>
                <w:szCs w:val="22"/>
              </w:rPr>
              <w:t>0.2</w:t>
            </w:r>
            <w:r>
              <w:rPr>
                <w:rFonts w:hint="eastAsia" w:hAnsi="宋体" w:eastAsia="宋体" w:cs="宋体"/>
                <w:kern w:val="0"/>
                <w:sz w:val="22"/>
                <w:szCs w:val="22"/>
              </w:rPr>
              <w:t>分，累计达</w:t>
            </w:r>
            <w:r>
              <w:rPr>
                <w:rFonts w:eastAsia="宋体" w:cs="宋体"/>
                <w:kern w:val="0"/>
                <w:sz w:val="22"/>
                <w:szCs w:val="22"/>
              </w:rPr>
              <w:t>7</w:t>
            </w:r>
            <w:r>
              <w:rPr>
                <w:rFonts w:hint="eastAsia" w:hAnsi="宋体" w:eastAsia="宋体" w:cs="宋体"/>
                <w:kern w:val="0"/>
                <w:sz w:val="22"/>
                <w:szCs w:val="22"/>
              </w:rPr>
              <w:t>次及以上，本项目不得分。支付到错误账户，每笔扣</w:t>
            </w:r>
            <w:r>
              <w:rPr>
                <w:rFonts w:eastAsia="宋体" w:cs="宋体"/>
                <w:kern w:val="0"/>
                <w:sz w:val="22"/>
                <w:szCs w:val="22"/>
              </w:rPr>
              <w:t>0.01</w:t>
            </w:r>
            <w:r>
              <w:rPr>
                <w:rFonts w:hint="eastAsia" w:hAnsi="宋体" w:eastAsia="宋体" w:cs="宋体"/>
                <w:kern w:val="0"/>
                <w:sz w:val="22"/>
                <w:szCs w:val="22"/>
              </w:rPr>
              <w:t>分。本项标准分扣完为止。</w:t>
            </w:r>
          </w:p>
        </w:tc>
        <w:tc>
          <w:tcPr>
            <w:tcW w:w="892"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c>
          <w:tcPr>
            <w:tcW w:w="1013"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406" w:hRule="atLeast"/>
          <w:jc w:val="center"/>
        </w:trPr>
        <w:tc>
          <w:tcPr>
            <w:tcW w:w="436" w:type="dxa"/>
            <w:tcBorders>
              <w:top w:val="nil"/>
              <w:left w:val="single" w:color="auto" w:sz="8" w:space="0"/>
              <w:bottom w:val="single" w:color="auto" w:sz="4"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5</w:t>
            </w:r>
          </w:p>
        </w:tc>
        <w:tc>
          <w:tcPr>
            <w:tcW w:w="470" w:type="dxa"/>
            <w:vMerge w:val="restart"/>
            <w:tcBorders>
              <w:top w:val="nil"/>
              <w:left w:val="single" w:color="auto" w:sz="8" w:space="0"/>
              <w:bottom w:val="single" w:color="auto" w:sz="4"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基金管理</w:t>
            </w:r>
          </w:p>
        </w:tc>
        <w:tc>
          <w:tcPr>
            <w:tcW w:w="908" w:type="dxa"/>
            <w:tcBorders>
              <w:top w:val="nil"/>
              <w:left w:val="nil"/>
              <w:bottom w:val="single" w:color="auto" w:sz="4"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审核　管理</w:t>
            </w:r>
          </w:p>
        </w:tc>
        <w:tc>
          <w:tcPr>
            <w:tcW w:w="572" w:type="dxa"/>
            <w:tcBorders>
              <w:top w:val="nil"/>
              <w:left w:val="nil"/>
              <w:bottom w:val="single" w:color="auto" w:sz="4"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10</w:t>
            </w:r>
          </w:p>
        </w:tc>
        <w:tc>
          <w:tcPr>
            <w:tcW w:w="4494" w:type="dxa"/>
            <w:tcBorders>
              <w:top w:val="nil"/>
              <w:left w:val="nil"/>
              <w:bottom w:val="single" w:color="auto" w:sz="4" w:space="0"/>
              <w:right w:val="single" w:color="auto" w:sz="8" w:space="0"/>
            </w:tcBorders>
            <w:shd w:val="clear" w:color="auto" w:fill="auto"/>
            <w:vAlign w:val="center"/>
          </w:tcPr>
          <w:p>
            <w:pPr>
              <w:widowControl/>
              <w:snapToGrid w:val="0"/>
              <w:spacing w:line="240" w:lineRule="exact"/>
              <w:rPr>
                <w:rFonts w:eastAsia="宋体" w:cs="宋体"/>
                <w:kern w:val="0"/>
                <w:sz w:val="22"/>
                <w:szCs w:val="22"/>
              </w:rPr>
            </w:pPr>
            <w:r>
              <w:rPr>
                <w:rFonts w:hint="eastAsia" w:hAnsi="宋体" w:eastAsia="宋体" w:cs="宋体"/>
                <w:kern w:val="0"/>
                <w:sz w:val="22"/>
                <w:szCs w:val="22"/>
              </w:rPr>
              <w:t>按规定或要求完成费用初审。次年</w:t>
            </w:r>
            <w:r>
              <w:rPr>
                <w:rFonts w:eastAsia="宋体" w:cs="宋体"/>
                <w:kern w:val="0"/>
                <w:sz w:val="22"/>
                <w:szCs w:val="22"/>
              </w:rPr>
              <w:t>1</w:t>
            </w:r>
            <w:r>
              <w:rPr>
                <w:rFonts w:hint="eastAsia" w:hAnsi="宋体" w:eastAsia="宋体" w:cs="宋体"/>
                <w:kern w:val="0"/>
                <w:sz w:val="22"/>
                <w:szCs w:val="22"/>
              </w:rPr>
              <w:t>月底前完成上年应审核费用条数量</w:t>
            </w:r>
            <w:r>
              <w:rPr>
                <w:rFonts w:eastAsia="宋体" w:cs="宋体"/>
                <w:kern w:val="0"/>
                <w:sz w:val="22"/>
                <w:szCs w:val="22"/>
              </w:rPr>
              <w:t>95%</w:t>
            </w:r>
            <w:r>
              <w:rPr>
                <w:rFonts w:hint="eastAsia" w:hAnsi="宋体" w:eastAsia="宋体" w:cs="宋体"/>
                <w:kern w:val="0"/>
                <w:sz w:val="22"/>
                <w:szCs w:val="22"/>
              </w:rPr>
              <w:t>以上的（含，下同），同时，完成从智能审核监控系统提取的疑点项目数据审核率达到</w:t>
            </w:r>
            <w:r>
              <w:rPr>
                <w:rFonts w:eastAsia="宋体" w:cs="宋体"/>
                <w:kern w:val="0"/>
                <w:sz w:val="22"/>
                <w:szCs w:val="22"/>
              </w:rPr>
              <w:t>95%</w:t>
            </w:r>
            <w:r>
              <w:rPr>
                <w:rFonts w:hint="eastAsia" w:hAnsi="宋体" w:eastAsia="宋体" w:cs="宋体"/>
                <w:kern w:val="0"/>
                <w:sz w:val="22"/>
                <w:szCs w:val="22"/>
              </w:rPr>
              <w:t>以上的，得标准分。每降</w:t>
            </w:r>
            <w:r>
              <w:rPr>
                <w:rFonts w:eastAsia="宋体" w:cs="宋体"/>
                <w:kern w:val="0"/>
                <w:sz w:val="22"/>
                <w:szCs w:val="22"/>
              </w:rPr>
              <w:t>1</w:t>
            </w:r>
            <w:r>
              <w:rPr>
                <w:rFonts w:hint="eastAsia" w:hAnsi="宋体" w:eastAsia="宋体" w:cs="宋体"/>
                <w:kern w:val="0"/>
                <w:sz w:val="22"/>
                <w:szCs w:val="22"/>
              </w:rPr>
              <w:t>个百分点扣</w:t>
            </w:r>
            <w:r>
              <w:rPr>
                <w:rFonts w:eastAsia="宋体" w:cs="宋体"/>
                <w:kern w:val="0"/>
                <w:sz w:val="22"/>
                <w:szCs w:val="22"/>
              </w:rPr>
              <w:t>1</w:t>
            </w:r>
            <w:r>
              <w:rPr>
                <w:rFonts w:hint="eastAsia" w:hAnsi="宋体" w:eastAsia="宋体" w:cs="宋体"/>
                <w:kern w:val="0"/>
                <w:sz w:val="22"/>
                <w:szCs w:val="22"/>
              </w:rPr>
              <w:t>分；经抽检或监督检查发现医院存在医疗费用发生不规范，但审核发现率不足</w:t>
            </w:r>
            <w:r>
              <w:rPr>
                <w:rFonts w:eastAsia="宋体" w:cs="宋体"/>
                <w:kern w:val="0"/>
                <w:sz w:val="22"/>
                <w:szCs w:val="22"/>
              </w:rPr>
              <w:t>90%</w:t>
            </w:r>
            <w:r>
              <w:rPr>
                <w:rFonts w:hint="eastAsia" w:hAnsi="宋体" w:eastAsia="宋体" w:cs="宋体"/>
                <w:kern w:val="0"/>
                <w:sz w:val="22"/>
                <w:szCs w:val="22"/>
              </w:rPr>
              <w:t>的，每差</w:t>
            </w:r>
            <w:r>
              <w:rPr>
                <w:rFonts w:eastAsia="宋体" w:cs="宋体"/>
                <w:kern w:val="0"/>
                <w:sz w:val="22"/>
                <w:szCs w:val="22"/>
              </w:rPr>
              <w:t>1</w:t>
            </w:r>
            <w:r>
              <w:rPr>
                <w:rFonts w:hint="eastAsia" w:hAnsi="宋体" w:eastAsia="宋体" w:cs="宋体"/>
                <w:kern w:val="0"/>
                <w:sz w:val="22"/>
                <w:szCs w:val="22"/>
              </w:rPr>
              <w:t>个百分点扣</w:t>
            </w:r>
            <w:r>
              <w:rPr>
                <w:rFonts w:eastAsia="宋体" w:cs="宋体"/>
                <w:kern w:val="0"/>
                <w:sz w:val="22"/>
                <w:szCs w:val="22"/>
              </w:rPr>
              <w:t>1</w:t>
            </w:r>
            <w:r>
              <w:rPr>
                <w:rFonts w:hint="eastAsia" w:hAnsi="宋体" w:eastAsia="宋体" w:cs="宋体"/>
                <w:kern w:val="0"/>
                <w:sz w:val="22"/>
                <w:szCs w:val="22"/>
              </w:rPr>
              <w:t>分。发现率</w:t>
            </w:r>
            <w:r>
              <w:rPr>
                <w:rFonts w:eastAsia="宋体" w:cs="宋体"/>
                <w:kern w:val="0"/>
                <w:sz w:val="22"/>
                <w:szCs w:val="22"/>
              </w:rPr>
              <w:t>=</w:t>
            </w:r>
            <w:r>
              <w:rPr>
                <w:rFonts w:hint="eastAsia" w:hAnsi="宋体" w:eastAsia="宋体" w:cs="宋体"/>
                <w:kern w:val="0"/>
                <w:sz w:val="22"/>
                <w:szCs w:val="22"/>
              </w:rPr>
              <w:t>抽检或监督检查发现医院存在不规范医疗费中保险公司审核扣款</w:t>
            </w:r>
            <w:r>
              <w:rPr>
                <w:rFonts w:eastAsia="宋体" w:cs="宋体"/>
                <w:kern w:val="0"/>
                <w:sz w:val="22"/>
                <w:szCs w:val="22"/>
              </w:rPr>
              <w:t>/</w:t>
            </w:r>
            <w:r>
              <w:rPr>
                <w:rFonts w:hint="eastAsia" w:hAnsi="宋体" w:eastAsia="宋体" w:cs="宋体"/>
                <w:kern w:val="0"/>
                <w:sz w:val="22"/>
                <w:szCs w:val="22"/>
              </w:rPr>
              <w:t>抽检或监督检查发现医院存在不规范医疗费</w:t>
            </w:r>
            <w:r>
              <w:rPr>
                <w:rFonts w:eastAsia="宋体" w:cs="宋体"/>
                <w:kern w:val="0"/>
                <w:sz w:val="22"/>
                <w:szCs w:val="22"/>
              </w:rPr>
              <w:t>*100%</w:t>
            </w:r>
            <w:r>
              <w:rPr>
                <w:rFonts w:hint="eastAsia" w:hAnsi="宋体" w:eastAsia="宋体" w:cs="宋体"/>
                <w:kern w:val="0"/>
                <w:sz w:val="22"/>
                <w:szCs w:val="22"/>
              </w:rPr>
              <w:t>。两项叠加扣分，本项扣完为止。</w:t>
            </w:r>
          </w:p>
        </w:tc>
        <w:tc>
          <w:tcPr>
            <w:tcW w:w="892" w:type="dxa"/>
            <w:tcBorders>
              <w:top w:val="nil"/>
              <w:left w:val="nil"/>
              <w:bottom w:val="single" w:color="auto" w:sz="8" w:space="0"/>
              <w:right w:val="single" w:color="auto" w:sz="8" w:space="0"/>
            </w:tcBorders>
            <w:shd w:val="clear" w:color="auto" w:fill="auto"/>
            <w:vAlign w:val="center"/>
          </w:tcPr>
          <w:p>
            <w:pPr>
              <w:widowControl/>
              <w:snapToGrid w:val="0"/>
              <w:spacing w:line="260" w:lineRule="exact"/>
              <w:rPr>
                <w:rFonts w:eastAsia="宋体" w:cs="宋体"/>
                <w:color w:val="000000"/>
                <w:kern w:val="0"/>
                <w:sz w:val="22"/>
                <w:szCs w:val="22"/>
              </w:rPr>
            </w:pPr>
            <w:r>
              <w:rPr>
                <w:rFonts w:hint="eastAsia" w:hAnsi="宋体" w:eastAsia="宋体" w:cs="宋体"/>
                <w:color w:val="000000"/>
                <w:kern w:val="0"/>
                <w:sz w:val="22"/>
                <w:szCs w:val="22"/>
              </w:rPr>
              <w:t>　</w:t>
            </w:r>
          </w:p>
        </w:tc>
        <w:tc>
          <w:tcPr>
            <w:tcW w:w="1013" w:type="dxa"/>
            <w:tcBorders>
              <w:top w:val="nil"/>
              <w:left w:val="nil"/>
              <w:bottom w:val="single" w:color="auto" w:sz="8" w:space="0"/>
              <w:right w:val="single" w:color="auto" w:sz="8" w:space="0"/>
            </w:tcBorders>
            <w:shd w:val="clear" w:color="auto" w:fill="auto"/>
            <w:vAlign w:val="center"/>
          </w:tcPr>
          <w:p>
            <w:pPr>
              <w:widowControl/>
              <w:snapToGrid w:val="0"/>
              <w:spacing w:line="26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406" w:hRule="atLeast"/>
          <w:jc w:val="center"/>
        </w:trPr>
        <w:tc>
          <w:tcPr>
            <w:tcW w:w="436"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snapToGrid w:val="0"/>
              <w:spacing w:line="240" w:lineRule="exact"/>
              <w:jc w:val="center"/>
              <w:rPr>
                <w:rFonts w:eastAsia="宋体" w:cs="宋体"/>
                <w:color w:val="000000"/>
                <w:kern w:val="0"/>
                <w:sz w:val="22"/>
                <w:szCs w:val="22"/>
              </w:rPr>
            </w:pPr>
            <w:r>
              <w:rPr>
                <w:rFonts w:eastAsia="宋体" w:cs="宋体"/>
                <w:color w:val="000000"/>
                <w:kern w:val="0"/>
                <w:sz w:val="22"/>
                <w:szCs w:val="22"/>
              </w:rPr>
              <w:t>6</w:t>
            </w:r>
          </w:p>
        </w:tc>
        <w:tc>
          <w:tcPr>
            <w:tcW w:w="470" w:type="dxa"/>
            <w:vMerge w:val="continue"/>
            <w:tcBorders>
              <w:top w:val="single" w:color="auto" w:sz="4" w:space="0"/>
              <w:left w:val="single" w:color="auto" w:sz="8" w:space="0"/>
              <w:bottom w:val="single" w:color="auto" w:sz="4" w:space="0"/>
              <w:right w:val="single" w:color="auto" w:sz="8" w:space="0"/>
            </w:tcBorders>
            <w:vAlign w:val="center"/>
          </w:tcPr>
          <w:p>
            <w:pPr>
              <w:widowControl/>
              <w:snapToGrid w:val="0"/>
              <w:spacing w:line="240" w:lineRule="exact"/>
              <w:jc w:val="left"/>
              <w:rPr>
                <w:rFonts w:eastAsia="宋体" w:cs="宋体"/>
                <w:color w:val="000000"/>
                <w:kern w:val="0"/>
                <w:sz w:val="22"/>
                <w:szCs w:val="22"/>
              </w:rPr>
            </w:pPr>
          </w:p>
        </w:tc>
        <w:tc>
          <w:tcPr>
            <w:tcW w:w="908"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240" w:lineRule="exact"/>
              <w:jc w:val="center"/>
              <w:rPr>
                <w:rFonts w:eastAsia="宋体" w:cs="宋体"/>
                <w:color w:val="000000"/>
                <w:kern w:val="0"/>
                <w:sz w:val="22"/>
                <w:szCs w:val="22"/>
              </w:rPr>
            </w:pPr>
            <w:r>
              <w:rPr>
                <w:rFonts w:hint="eastAsia" w:hAnsi="宋体" w:eastAsia="宋体" w:cs="宋体"/>
                <w:color w:val="000000"/>
                <w:kern w:val="0"/>
                <w:sz w:val="22"/>
                <w:szCs w:val="22"/>
              </w:rPr>
              <w:t>监督　检查★</w:t>
            </w:r>
          </w:p>
        </w:tc>
        <w:tc>
          <w:tcPr>
            <w:tcW w:w="57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240" w:lineRule="exact"/>
              <w:jc w:val="center"/>
              <w:rPr>
                <w:rFonts w:eastAsia="宋体" w:cs="宋体"/>
                <w:kern w:val="0"/>
                <w:sz w:val="22"/>
                <w:szCs w:val="22"/>
              </w:rPr>
            </w:pPr>
            <w:r>
              <w:rPr>
                <w:rFonts w:eastAsia="宋体" w:cs="宋体"/>
                <w:kern w:val="0"/>
                <w:sz w:val="22"/>
                <w:szCs w:val="22"/>
              </w:rPr>
              <w:t>20</w:t>
            </w:r>
          </w:p>
        </w:tc>
        <w:tc>
          <w:tcPr>
            <w:tcW w:w="449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240" w:lineRule="exact"/>
              <w:jc w:val="left"/>
              <w:rPr>
                <w:rFonts w:eastAsia="宋体" w:cs="宋体"/>
                <w:kern w:val="0"/>
                <w:sz w:val="22"/>
                <w:szCs w:val="22"/>
              </w:rPr>
            </w:pPr>
            <w:r>
              <w:rPr>
                <w:rFonts w:hint="eastAsia" w:hAnsi="宋体" w:eastAsia="宋体" w:cs="宋体"/>
                <w:kern w:val="0"/>
                <w:sz w:val="22"/>
                <w:szCs w:val="22"/>
              </w:rPr>
              <w:t>遵守医保管理相关政策制度和业务经办规程等相关法律法规和规定。如有违反，经查实一次扣</w:t>
            </w:r>
            <w:r>
              <w:rPr>
                <w:rFonts w:eastAsia="宋体" w:cs="宋体"/>
                <w:kern w:val="0"/>
                <w:sz w:val="22"/>
                <w:szCs w:val="22"/>
              </w:rPr>
              <w:t>3</w:t>
            </w:r>
            <w:r>
              <w:rPr>
                <w:rFonts w:hint="eastAsia" w:hAnsi="宋体" w:eastAsia="宋体" w:cs="宋体"/>
                <w:kern w:val="0"/>
                <w:sz w:val="22"/>
                <w:szCs w:val="22"/>
              </w:rPr>
              <w:t>分；对违反相关法律法规和泄漏检查对象、检查数据等行为的一次扣</w:t>
            </w:r>
            <w:r>
              <w:rPr>
                <w:rFonts w:eastAsia="宋体" w:cs="宋体"/>
                <w:kern w:val="0"/>
                <w:sz w:val="22"/>
                <w:szCs w:val="22"/>
              </w:rPr>
              <w:t>5</w:t>
            </w:r>
            <w:r>
              <w:rPr>
                <w:rFonts w:hint="eastAsia" w:hAnsi="宋体" w:eastAsia="宋体" w:cs="宋体"/>
                <w:kern w:val="0"/>
                <w:sz w:val="22"/>
                <w:szCs w:val="22"/>
              </w:rPr>
              <w:t>分，扣完为止。对造成重大社会影响的该项不得分。</w:t>
            </w:r>
          </w:p>
        </w:tc>
        <w:tc>
          <w:tcPr>
            <w:tcW w:w="1905" w:type="dxa"/>
            <w:gridSpan w:val="2"/>
            <w:tcBorders>
              <w:top w:val="single" w:color="auto" w:sz="8" w:space="0"/>
              <w:left w:val="nil"/>
              <w:bottom w:val="single" w:color="auto" w:sz="4" w:space="0"/>
              <w:right w:val="single" w:color="000000" w:sz="8" w:space="0"/>
            </w:tcBorders>
            <w:shd w:val="clear" w:color="auto" w:fill="auto"/>
            <w:vAlign w:val="center"/>
          </w:tcPr>
          <w:p>
            <w:pPr>
              <w:widowControl/>
              <w:snapToGrid w:val="0"/>
              <w:spacing w:line="260" w:lineRule="exact"/>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3120" w:hRule="atLeast"/>
          <w:jc w:val="center"/>
        </w:trPr>
        <w:tc>
          <w:tcPr>
            <w:tcW w:w="436"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napToGrid w:val="0"/>
              <w:spacing w:line="300" w:lineRule="exact"/>
              <w:jc w:val="center"/>
              <w:rPr>
                <w:rFonts w:eastAsia="宋体" w:cs="宋体"/>
                <w:color w:val="000000"/>
                <w:kern w:val="0"/>
                <w:sz w:val="22"/>
                <w:szCs w:val="22"/>
              </w:rPr>
            </w:pPr>
            <w:r>
              <w:rPr>
                <w:rFonts w:eastAsia="宋体" w:cs="宋体"/>
                <w:color w:val="000000"/>
                <w:kern w:val="0"/>
                <w:sz w:val="22"/>
                <w:szCs w:val="22"/>
              </w:rPr>
              <w:t>7</w:t>
            </w:r>
          </w:p>
        </w:tc>
        <w:tc>
          <w:tcPr>
            <w:tcW w:w="470" w:type="dxa"/>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配合工作</w:t>
            </w:r>
          </w:p>
        </w:tc>
        <w:tc>
          <w:tcPr>
            <w:tcW w:w="908"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工作配合度★</w:t>
            </w:r>
          </w:p>
        </w:tc>
        <w:tc>
          <w:tcPr>
            <w:tcW w:w="57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300" w:lineRule="exact"/>
              <w:jc w:val="center"/>
              <w:rPr>
                <w:rFonts w:eastAsia="宋体" w:cs="宋体"/>
                <w:kern w:val="0"/>
                <w:sz w:val="22"/>
                <w:szCs w:val="22"/>
              </w:rPr>
            </w:pPr>
            <w:r>
              <w:rPr>
                <w:rFonts w:eastAsia="宋体" w:cs="宋体"/>
                <w:kern w:val="0"/>
                <w:sz w:val="22"/>
                <w:szCs w:val="22"/>
              </w:rPr>
              <w:t>15</w:t>
            </w:r>
          </w:p>
        </w:tc>
        <w:tc>
          <w:tcPr>
            <w:tcW w:w="449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300" w:lineRule="exact"/>
              <w:jc w:val="left"/>
              <w:rPr>
                <w:rFonts w:eastAsia="宋体" w:cs="宋体"/>
                <w:kern w:val="0"/>
                <w:sz w:val="22"/>
                <w:szCs w:val="22"/>
              </w:rPr>
            </w:pPr>
            <w:r>
              <w:rPr>
                <w:rFonts w:hint="eastAsia" w:hAnsi="宋体" w:eastAsia="宋体" w:cs="宋体"/>
                <w:kern w:val="0"/>
                <w:sz w:val="22"/>
                <w:szCs w:val="22"/>
              </w:rPr>
              <w:t>积极配合医保部门开展改革性、创新性、配套性事务以及内控廉政建设等工作。对医保部门支持协作需求及时响应，并采取切实的行动给予支持配合，配合完成较好的得标准分</w:t>
            </w:r>
            <w:r>
              <w:rPr>
                <w:rFonts w:eastAsia="宋体" w:cs="宋体"/>
                <w:kern w:val="0"/>
                <w:sz w:val="22"/>
                <w:szCs w:val="22"/>
              </w:rPr>
              <w:t>15</w:t>
            </w:r>
            <w:r>
              <w:rPr>
                <w:rFonts w:hint="eastAsia" w:hAnsi="宋体" w:eastAsia="宋体" w:cs="宋体"/>
                <w:kern w:val="0"/>
                <w:sz w:val="22"/>
                <w:szCs w:val="22"/>
              </w:rPr>
              <w:t>分。在配合完成的基础上，通过积极投入充分发挥能动作用，在工作中通过创新性工作（包括积极参与大额大病医保创新管理研究）、独立承办长期性工作有显著成效或者主动发现重大问题，经结果检验有重要贡献，或抽调参与医保重大工作事项并取得成效，由区县医保部门和市医保局相关处室（单位）提出，并提供相关佐证资料，完善签字流程，存档备查。每</w:t>
            </w:r>
            <w:r>
              <w:rPr>
                <w:rFonts w:eastAsia="宋体" w:cs="宋体"/>
                <w:kern w:val="0"/>
                <w:sz w:val="22"/>
                <w:szCs w:val="22"/>
              </w:rPr>
              <w:t>1</w:t>
            </w:r>
            <w:r>
              <w:rPr>
                <w:rFonts w:hint="eastAsia" w:hAnsi="宋体" w:eastAsia="宋体" w:cs="宋体"/>
                <w:kern w:val="0"/>
                <w:sz w:val="22"/>
                <w:szCs w:val="22"/>
              </w:rPr>
              <w:t>项加</w:t>
            </w:r>
            <w:r>
              <w:rPr>
                <w:rFonts w:eastAsia="宋体" w:cs="宋体"/>
                <w:kern w:val="0"/>
                <w:sz w:val="22"/>
                <w:szCs w:val="22"/>
              </w:rPr>
              <w:t>1</w:t>
            </w:r>
            <w:r>
              <w:rPr>
                <w:rFonts w:hint="eastAsia" w:hAnsi="宋体" w:eastAsia="宋体" w:cs="宋体"/>
                <w:kern w:val="0"/>
                <w:sz w:val="22"/>
                <w:szCs w:val="22"/>
              </w:rPr>
              <w:t>分</w:t>
            </w:r>
            <w:r>
              <w:rPr>
                <w:rFonts w:eastAsia="宋体" w:cs="宋体"/>
                <w:kern w:val="0"/>
                <w:sz w:val="22"/>
                <w:szCs w:val="22"/>
              </w:rPr>
              <w:t>,</w:t>
            </w:r>
            <w:r>
              <w:rPr>
                <w:rFonts w:hint="eastAsia" w:hAnsi="宋体" w:eastAsia="宋体" w:cs="宋体"/>
                <w:kern w:val="0"/>
                <w:sz w:val="22"/>
                <w:szCs w:val="22"/>
              </w:rPr>
              <w:t>最高加分</w:t>
            </w:r>
            <w:r>
              <w:rPr>
                <w:rFonts w:eastAsia="宋体" w:cs="宋体"/>
                <w:kern w:val="0"/>
                <w:sz w:val="22"/>
                <w:szCs w:val="22"/>
              </w:rPr>
              <w:t>5</w:t>
            </w:r>
            <w:r>
              <w:rPr>
                <w:rFonts w:hint="eastAsia" w:hAnsi="宋体" w:eastAsia="宋体" w:cs="宋体"/>
                <w:kern w:val="0"/>
                <w:sz w:val="22"/>
                <w:szCs w:val="22"/>
              </w:rPr>
              <w:t>分。市医保局相关处室（单位）根据职能分保险公司提供全市得分情况。对配合完成较差的，在标准分基础上减分，减分最高不超过</w:t>
            </w:r>
            <w:r>
              <w:rPr>
                <w:rFonts w:eastAsia="宋体" w:cs="宋体"/>
                <w:kern w:val="0"/>
                <w:sz w:val="22"/>
                <w:szCs w:val="22"/>
              </w:rPr>
              <w:t>5</w:t>
            </w:r>
            <w:r>
              <w:rPr>
                <w:rFonts w:hint="eastAsia" w:hAnsi="宋体" w:eastAsia="宋体" w:cs="宋体"/>
                <w:kern w:val="0"/>
                <w:sz w:val="22"/>
                <w:szCs w:val="22"/>
              </w:rPr>
              <w:t>分。需提供减分理由和证明材料。</w:t>
            </w:r>
          </w:p>
        </w:tc>
        <w:tc>
          <w:tcPr>
            <w:tcW w:w="89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320" w:hRule="atLeast"/>
          <w:jc w:val="center"/>
        </w:trPr>
        <w:tc>
          <w:tcPr>
            <w:tcW w:w="436" w:type="dxa"/>
            <w:tcBorders>
              <w:top w:val="single" w:color="auto" w:sz="4" w:space="0"/>
              <w:left w:val="single" w:color="auto" w:sz="8" w:space="0"/>
              <w:bottom w:val="single" w:color="auto" w:sz="8" w:space="0"/>
              <w:right w:val="single" w:color="auto" w:sz="8" w:space="0"/>
            </w:tcBorders>
            <w:shd w:val="clear" w:color="auto" w:fill="auto"/>
            <w:noWrap/>
            <w:vAlign w:val="center"/>
          </w:tcPr>
          <w:p>
            <w:pPr>
              <w:widowControl/>
              <w:snapToGrid w:val="0"/>
              <w:spacing w:line="300" w:lineRule="exact"/>
              <w:jc w:val="center"/>
              <w:rPr>
                <w:rFonts w:eastAsia="宋体" w:cs="宋体"/>
                <w:color w:val="000000"/>
                <w:kern w:val="0"/>
                <w:sz w:val="22"/>
                <w:szCs w:val="22"/>
              </w:rPr>
            </w:pPr>
            <w:r>
              <w:rPr>
                <w:rFonts w:eastAsia="宋体" w:cs="宋体"/>
                <w:color w:val="000000"/>
                <w:kern w:val="0"/>
                <w:sz w:val="22"/>
                <w:szCs w:val="22"/>
              </w:rPr>
              <w:t>8</w:t>
            </w:r>
          </w:p>
        </w:tc>
        <w:tc>
          <w:tcPr>
            <w:tcW w:w="470" w:type="dxa"/>
            <w:vMerge w:val="continue"/>
            <w:tcBorders>
              <w:top w:val="single" w:color="auto" w:sz="4" w:space="0"/>
              <w:left w:val="single" w:color="auto" w:sz="8" w:space="0"/>
              <w:bottom w:val="single" w:color="000000" w:sz="8" w:space="0"/>
              <w:right w:val="single" w:color="auto" w:sz="8" w:space="0"/>
            </w:tcBorders>
            <w:vAlign w:val="center"/>
          </w:tcPr>
          <w:p>
            <w:pPr>
              <w:widowControl/>
              <w:snapToGrid w:val="0"/>
              <w:spacing w:line="300" w:lineRule="exact"/>
              <w:jc w:val="left"/>
              <w:rPr>
                <w:rFonts w:eastAsia="宋体" w:cs="宋体"/>
                <w:color w:val="000000"/>
                <w:kern w:val="0"/>
                <w:sz w:val="22"/>
                <w:szCs w:val="22"/>
              </w:rPr>
            </w:pPr>
          </w:p>
        </w:tc>
        <w:tc>
          <w:tcPr>
            <w:tcW w:w="908"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投标承诺完成率</w:t>
            </w:r>
          </w:p>
        </w:tc>
        <w:tc>
          <w:tcPr>
            <w:tcW w:w="572"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kern w:val="0"/>
                <w:sz w:val="22"/>
                <w:szCs w:val="22"/>
              </w:rPr>
            </w:pPr>
            <w:r>
              <w:rPr>
                <w:rFonts w:eastAsia="宋体" w:cs="宋体"/>
                <w:kern w:val="0"/>
                <w:sz w:val="22"/>
                <w:szCs w:val="22"/>
              </w:rPr>
              <w:t>5</w:t>
            </w:r>
          </w:p>
        </w:tc>
        <w:tc>
          <w:tcPr>
            <w:tcW w:w="4494"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line="300" w:lineRule="exact"/>
              <w:jc w:val="left"/>
              <w:rPr>
                <w:rFonts w:eastAsia="宋体" w:cs="宋体"/>
                <w:kern w:val="0"/>
                <w:sz w:val="22"/>
                <w:szCs w:val="22"/>
              </w:rPr>
            </w:pPr>
            <w:r>
              <w:rPr>
                <w:rFonts w:hint="eastAsia" w:hAnsi="宋体" w:eastAsia="宋体" w:cs="宋体"/>
                <w:kern w:val="0"/>
                <w:sz w:val="22"/>
                <w:szCs w:val="22"/>
              </w:rPr>
              <w:t>保险公司应确保投标书中的具体承诺内容履行到位。对投标书中具体承诺内容按具体时间节点履行到位的得标准分，未履行到位的，根据履行到位项目数量占承诺应完成数量比例乘以该项标准分计算得分。</w:t>
            </w:r>
          </w:p>
        </w:tc>
        <w:tc>
          <w:tcPr>
            <w:tcW w:w="1905" w:type="dxa"/>
            <w:gridSpan w:val="2"/>
            <w:tcBorders>
              <w:top w:val="single" w:color="auto" w:sz="4" w:space="0"/>
              <w:left w:val="nil"/>
              <w:bottom w:val="single" w:color="auto" w:sz="8" w:space="0"/>
              <w:right w:val="single" w:color="000000"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710"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300" w:lineRule="exact"/>
              <w:jc w:val="center"/>
              <w:rPr>
                <w:rFonts w:eastAsia="宋体" w:cs="宋体"/>
                <w:color w:val="000000"/>
                <w:kern w:val="0"/>
                <w:sz w:val="22"/>
                <w:szCs w:val="22"/>
              </w:rPr>
            </w:pPr>
            <w:r>
              <w:rPr>
                <w:rFonts w:eastAsia="宋体" w:cs="宋体"/>
                <w:color w:val="000000"/>
                <w:kern w:val="0"/>
                <w:sz w:val="22"/>
                <w:szCs w:val="22"/>
              </w:rPr>
              <w:t>9</w:t>
            </w:r>
          </w:p>
        </w:tc>
        <w:tc>
          <w:tcPr>
            <w:tcW w:w="470" w:type="dxa"/>
            <w:vMerge w:val="restart"/>
            <w:tcBorders>
              <w:top w:val="nil"/>
              <w:left w:val="single" w:color="auto" w:sz="8" w:space="0"/>
              <w:bottom w:val="single" w:color="000000"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纪律安全</w:t>
            </w: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违规违纪情况★</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kern w:val="0"/>
                <w:sz w:val="22"/>
                <w:szCs w:val="22"/>
              </w:rPr>
            </w:pPr>
            <w:r>
              <w:rPr>
                <w:rFonts w:eastAsia="宋体" w:cs="宋体"/>
                <w:kern w:val="0"/>
                <w:sz w:val="22"/>
                <w:szCs w:val="22"/>
              </w:rPr>
              <w:t>5</w:t>
            </w:r>
          </w:p>
        </w:tc>
        <w:tc>
          <w:tcPr>
            <w:tcW w:w="4494"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left"/>
              <w:rPr>
                <w:rFonts w:eastAsia="宋体" w:cs="宋体"/>
                <w:kern w:val="0"/>
                <w:sz w:val="22"/>
                <w:szCs w:val="22"/>
              </w:rPr>
            </w:pPr>
            <w:r>
              <w:rPr>
                <w:rFonts w:hint="eastAsia" w:hAnsi="宋体" w:eastAsia="宋体" w:cs="宋体"/>
                <w:kern w:val="0"/>
                <w:sz w:val="22"/>
                <w:szCs w:val="22"/>
              </w:rPr>
              <w:t>在涉及承办服务工作中，对保险公司或其合署办公人员的举报投诉由医保部门查实，或医保部门对保险公司承办服务不到位进行书面通报的，或通过审计查出问题的，或因保险公司履职不到位导致各级医保部门（含经办机构）行政复议被撤销或行政诉讼败诉的，每出现一例扣</w:t>
            </w:r>
            <w:r>
              <w:rPr>
                <w:rFonts w:eastAsia="宋体" w:cs="宋体"/>
                <w:kern w:val="0"/>
                <w:sz w:val="22"/>
                <w:szCs w:val="22"/>
              </w:rPr>
              <w:t>0.5</w:t>
            </w:r>
            <w:r>
              <w:rPr>
                <w:rFonts w:hint="eastAsia" w:hAnsi="宋体" w:eastAsia="宋体" w:cs="宋体"/>
                <w:kern w:val="0"/>
                <w:sz w:val="22"/>
                <w:szCs w:val="22"/>
              </w:rPr>
              <w:t>分，该标准分扣完为止。没有的，该项得标准分。</w:t>
            </w:r>
          </w:p>
        </w:tc>
        <w:tc>
          <w:tcPr>
            <w:tcW w:w="1905" w:type="dxa"/>
            <w:gridSpan w:val="2"/>
            <w:tcBorders>
              <w:top w:val="single" w:color="auto" w:sz="8" w:space="0"/>
              <w:left w:val="nil"/>
              <w:bottom w:val="single" w:color="auto" w:sz="8" w:space="0"/>
              <w:right w:val="single" w:color="000000"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406" w:hRule="atLeast"/>
          <w:jc w:val="center"/>
        </w:trPr>
        <w:tc>
          <w:tcPr>
            <w:tcW w:w="436"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300" w:lineRule="exact"/>
              <w:jc w:val="center"/>
              <w:rPr>
                <w:rFonts w:eastAsia="宋体" w:cs="宋体"/>
                <w:color w:val="000000"/>
                <w:kern w:val="0"/>
                <w:sz w:val="22"/>
                <w:szCs w:val="22"/>
              </w:rPr>
            </w:pPr>
            <w:r>
              <w:rPr>
                <w:rFonts w:eastAsia="宋体" w:cs="宋体"/>
                <w:color w:val="000000"/>
                <w:kern w:val="0"/>
                <w:sz w:val="22"/>
                <w:szCs w:val="22"/>
              </w:rPr>
              <w:t>10</w:t>
            </w:r>
          </w:p>
        </w:tc>
        <w:tc>
          <w:tcPr>
            <w:tcW w:w="470" w:type="dxa"/>
            <w:vMerge w:val="continue"/>
            <w:tcBorders>
              <w:top w:val="nil"/>
              <w:left w:val="single" w:color="auto" w:sz="8" w:space="0"/>
              <w:bottom w:val="single" w:color="000000" w:sz="8" w:space="0"/>
              <w:right w:val="single" w:color="auto" w:sz="8" w:space="0"/>
            </w:tcBorders>
            <w:vAlign w:val="center"/>
          </w:tcPr>
          <w:p>
            <w:pPr>
              <w:widowControl/>
              <w:snapToGrid w:val="0"/>
              <w:spacing w:line="300" w:lineRule="exact"/>
              <w:jc w:val="left"/>
              <w:rPr>
                <w:rFonts w:eastAsia="宋体" w:cs="宋体"/>
                <w:color w:val="000000"/>
                <w:kern w:val="0"/>
                <w:sz w:val="22"/>
                <w:szCs w:val="22"/>
              </w:rPr>
            </w:pPr>
          </w:p>
        </w:tc>
        <w:tc>
          <w:tcPr>
            <w:tcW w:w="908"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数据信息安全保密★</w:t>
            </w:r>
          </w:p>
        </w:tc>
        <w:tc>
          <w:tcPr>
            <w:tcW w:w="572"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kern w:val="0"/>
                <w:sz w:val="22"/>
                <w:szCs w:val="22"/>
              </w:rPr>
            </w:pPr>
            <w:r>
              <w:rPr>
                <w:rFonts w:eastAsia="宋体" w:cs="宋体"/>
                <w:kern w:val="0"/>
                <w:sz w:val="22"/>
                <w:szCs w:val="22"/>
              </w:rPr>
              <w:t>5</w:t>
            </w:r>
          </w:p>
        </w:tc>
        <w:tc>
          <w:tcPr>
            <w:tcW w:w="4494"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left"/>
              <w:rPr>
                <w:rFonts w:eastAsia="宋体" w:cs="宋体"/>
                <w:kern w:val="0"/>
                <w:sz w:val="22"/>
                <w:szCs w:val="22"/>
              </w:rPr>
            </w:pPr>
            <w:r>
              <w:rPr>
                <w:rFonts w:hint="eastAsia" w:hAnsi="宋体" w:eastAsia="宋体" w:cs="宋体"/>
                <w:kern w:val="0"/>
                <w:sz w:val="22"/>
                <w:szCs w:val="22"/>
              </w:rPr>
              <w:t>违反社会保险相关法律法规规定的保密和安全管理制度，以及违反市医保局《重庆市医疗保障局办公终端安全管理暂行办法》（渝医保办〔</w:t>
            </w:r>
            <w:r>
              <w:rPr>
                <w:rFonts w:eastAsia="宋体" w:cs="宋体"/>
                <w:kern w:val="0"/>
                <w:sz w:val="22"/>
                <w:szCs w:val="22"/>
              </w:rPr>
              <w:t>2019</w:t>
            </w:r>
            <w:r>
              <w:rPr>
                <w:rFonts w:hint="eastAsia" w:hAnsi="宋体" w:eastAsia="宋体" w:cs="宋体"/>
                <w:kern w:val="0"/>
                <w:sz w:val="22"/>
                <w:szCs w:val="22"/>
              </w:rPr>
              <w:t>〕</w:t>
            </w:r>
            <w:r>
              <w:rPr>
                <w:rFonts w:eastAsia="宋体" w:cs="宋体"/>
                <w:kern w:val="0"/>
                <w:sz w:val="22"/>
                <w:szCs w:val="22"/>
              </w:rPr>
              <w:t>54</w:t>
            </w:r>
            <w:r>
              <w:rPr>
                <w:rFonts w:hint="eastAsia" w:hAnsi="宋体" w:eastAsia="宋体" w:cs="宋体"/>
                <w:kern w:val="0"/>
                <w:sz w:val="22"/>
                <w:szCs w:val="22"/>
              </w:rPr>
              <w:t>号）关于终端设备网络接入、软件管理、病毒防范、密码管理方面规定的，违反经查实一次扣</w:t>
            </w:r>
            <w:r>
              <w:rPr>
                <w:rFonts w:eastAsia="宋体" w:cs="宋体"/>
                <w:kern w:val="0"/>
                <w:sz w:val="22"/>
                <w:szCs w:val="22"/>
              </w:rPr>
              <w:t>1</w:t>
            </w:r>
            <w:r>
              <w:rPr>
                <w:rFonts w:hint="eastAsia" w:hAnsi="宋体" w:eastAsia="宋体" w:cs="宋体"/>
                <w:kern w:val="0"/>
                <w:sz w:val="22"/>
                <w:szCs w:val="22"/>
              </w:rPr>
              <w:t>分，扣完为止；严格遵守市医保局数据提取、权限管理的相关规定，违反一次扣</w:t>
            </w:r>
            <w:r>
              <w:rPr>
                <w:rFonts w:eastAsia="宋体" w:cs="宋体"/>
                <w:kern w:val="0"/>
                <w:sz w:val="22"/>
                <w:szCs w:val="22"/>
              </w:rPr>
              <w:t>1</w:t>
            </w:r>
            <w:r>
              <w:rPr>
                <w:rFonts w:hint="eastAsia" w:hAnsi="宋体" w:eastAsia="宋体" w:cs="宋体"/>
                <w:kern w:val="0"/>
                <w:sz w:val="22"/>
                <w:szCs w:val="22"/>
              </w:rPr>
              <w:t>分，如造成社会保险数据泄漏或导致社会保险系统安全事故，以及重大社会影响的，则保险公司该项考核不得分。</w:t>
            </w:r>
          </w:p>
        </w:tc>
        <w:tc>
          <w:tcPr>
            <w:tcW w:w="1905" w:type="dxa"/>
            <w:gridSpan w:val="2"/>
            <w:tcBorders>
              <w:top w:val="single" w:color="auto" w:sz="8" w:space="0"/>
              <w:left w:val="nil"/>
              <w:bottom w:val="single" w:color="auto" w:sz="8" w:space="0"/>
              <w:right w:val="single" w:color="000000"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163" w:hRule="atLeast"/>
          <w:jc w:val="center"/>
        </w:trPr>
        <w:tc>
          <w:tcPr>
            <w:tcW w:w="688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综合考核得分合计</w:t>
            </w:r>
          </w:p>
        </w:tc>
        <w:tc>
          <w:tcPr>
            <w:tcW w:w="892"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c>
          <w:tcPr>
            <w:tcW w:w="1013" w:type="dxa"/>
            <w:tcBorders>
              <w:top w:val="nil"/>
              <w:left w:val="nil"/>
              <w:bottom w:val="single" w:color="auto" w:sz="8" w:space="0"/>
              <w:right w:val="single" w:color="auto" w:sz="8" w:space="0"/>
            </w:tcBorders>
            <w:shd w:val="clear" w:color="auto" w:fill="auto"/>
            <w:vAlign w:val="center"/>
          </w:tcPr>
          <w:p>
            <w:pPr>
              <w:widowControl/>
              <w:snapToGrid w:val="0"/>
              <w:spacing w:line="300" w:lineRule="exact"/>
              <w:jc w:val="center"/>
              <w:rPr>
                <w:rFonts w:eastAsia="宋体" w:cs="宋体"/>
                <w:color w:val="000000"/>
                <w:kern w:val="0"/>
                <w:sz w:val="22"/>
                <w:szCs w:val="22"/>
              </w:rPr>
            </w:pPr>
            <w:r>
              <w:rPr>
                <w:rFonts w:hint="eastAsia" w:hAnsi="宋体" w:eastAsia="宋体" w:cs="宋体"/>
                <w:color w:val="000000"/>
                <w:kern w:val="0"/>
                <w:sz w:val="22"/>
                <w:szCs w:val="22"/>
              </w:rPr>
              <w:t>　</w:t>
            </w:r>
          </w:p>
        </w:tc>
      </w:tr>
      <w:tr>
        <w:tblPrEx>
          <w:tblCellMar>
            <w:top w:w="0" w:type="dxa"/>
            <w:left w:w="108" w:type="dxa"/>
            <w:bottom w:w="0" w:type="dxa"/>
            <w:right w:w="108" w:type="dxa"/>
          </w:tblCellMar>
        </w:tblPrEx>
        <w:trPr>
          <w:trHeight w:val="870" w:hRule="atLeast"/>
          <w:jc w:val="center"/>
        </w:trPr>
        <w:tc>
          <w:tcPr>
            <w:tcW w:w="8785" w:type="dxa"/>
            <w:gridSpan w:val="7"/>
            <w:tcBorders>
              <w:top w:val="single" w:color="auto" w:sz="8" w:space="0"/>
              <w:left w:val="nil"/>
              <w:bottom w:val="nil"/>
              <w:right w:val="nil"/>
            </w:tcBorders>
            <w:shd w:val="clear" w:color="auto" w:fill="auto"/>
            <w:vAlign w:val="center"/>
          </w:tcPr>
          <w:p>
            <w:pPr>
              <w:widowControl/>
              <w:snapToGrid w:val="0"/>
              <w:spacing w:line="300" w:lineRule="exact"/>
              <w:jc w:val="left"/>
              <w:rPr>
                <w:rFonts w:eastAsia="宋体" w:cs="宋体"/>
                <w:color w:val="000000"/>
                <w:kern w:val="0"/>
                <w:sz w:val="22"/>
                <w:szCs w:val="22"/>
              </w:rPr>
            </w:pPr>
            <w:r>
              <w:rPr>
                <w:rFonts w:hint="eastAsia" w:hAnsi="宋体" w:eastAsia="宋体" w:cs="宋体"/>
                <w:color w:val="000000"/>
                <w:kern w:val="0"/>
                <w:sz w:val="22"/>
                <w:szCs w:val="22"/>
              </w:rPr>
              <w:t>说明：标注</w:t>
            </w:r>
            <w:r>
              <w:rPr>
                <w:rFonts w:hint="eastAsia" w:eastAsia="宋体" w:cs="宋体"/>
                <w:color w:val="000000"/>
                <w:kern w:val="0"/>
                <w:sz w:val="22"/>
                <w:szCs w:val="22"/>
              </w:rPr>
              <w:t>“</w:t>
            </w:r>
            <w:r>
              <w:rPr>
                <w:rFonts w:hint="eastAsia" w:hAnsi="宋体" w:eastAsia="宋体" w:cs="宋体"/>
                <w:color w:val="000000"/>
                <w:kern w:val="0"/>
                <w:sz w:val="22"/>
                <w:szCs w:val="22"/>
              </w:rPr>
              <w:t>★</w:t>
            </w:r>
            <w:r>
              <w:rPr>
                <w:rFonts w:hint="eastAsia" w:eastAsia="宋体" w:cs="宋体"/>
                <w:color w:val="000000"/>
                <w:kern w:val="0"/>
                <w:sz w:val="22"/>
                <w:szCs w:val="22"/>
              </w:rPr>
              <w:t>”</w:t>
            </w:r>
            <w:r>
              <w:rPr>
                <w:rFonts w:hint="eastAsia" w:hAnsi="宋体" w:eastAsia="宋体" w:cs="宋体"/>
                <w:color w:val="000000"/>
                <w:kern w:val="0"/>
                <w:sz w:val="22"/>
                <w:szCs w:val="22"/>
              </w:rPr>
              <w:t>号的指标项同时对每区县情况进行考核打分，用于分区县细化考核退出排名比较。大额和大病承办指标项考核合并打分的，大额和大病承办考核均按同一得分计算。</w:t>
            </w:r>
          </w:p>
        </w:tc>
      </w:tr>
    </w:tbl>
    <w:p>
      <w:pPr>
        <w:snapToGrid w:val="0"/>
        <w:spacing w:line="280" w:lineRule="exact"/>
        <w:sectPr>
          <w:footerReference r:id="rId7" w:type="default"/>
          <w:pgSz w:w="11906" w:h="16838"/>
          <w:pgMar w:top="1247" w:right="1474" w:bottom="1247" w:left="1588" w:header="851" w:footer="992" w:gutter="0"/>
          <w:pgNumType w:fmt="decimal"/>
          <w:cols w:space="425" w:num="1"/>
          <w:docGrid w:type="lines" w:linePitch="312" w:charSpace="0"/>
        </w:sectPr>
      </w:pPr>
    </w:p>
    <w:p>
      <w:pPr>
        <w:pStyle w:val="8"/>
        <w:spacing w:line="560" w:lineRule="exact"/>
        <w:ind w:firstLine="0" w:firstLineChars="0"/>
        <w:rPr>
          <w:rFonts w:eastAsia="方正黑体_GBK"/>
          <w:szCs w:val="32"/>
        </w:rPr>
      </w:pPr>
      <w:r>
        <w:rPr>
          <w:rFonts w:hint="eastAsia" w:eastAsia="方正黑体_GBK"/>
          <w:szCs w:val="32"/>
        </w:rPr>
        <w:t>附件2</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保险公司综合考核评分情况表</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（职工大额/居民大病）</w:t>
      </w:r>
    </w:p>
    <w:p>
      <w:pPr>
        <w:jc w:val="left"/>
        <w:rPr>
          <w:rFonts w:eastAsia="方正仿宋_GBK"/>
          <w:szCs w:val="32"/>
        </w:rPr>
      </w:pPr>
      <w:r>
        <w:rPr>
          <w:rFonts w:hint="eastAsia" w:eastAsia="方正仿宋_GBK"/>
          <w:szCs w:val="32"/>
        </w:rPr>
        <w:t>填报单位（处室）：（盖章）</w:t>
      </w:r>
      <w:r>
        <w:rPr>
          <w:rFonts w:eastAsia="方正仿宋_GBK"/>
          <w:szCs w:val="32"/>
        </w:rPr>
        <w:t xml:space="preserve">                                       </w:t>
      </w:r>
      <w:r>
        <w:rPr>
          <w:rFonts w:hint="eastAsia" w:eastAsia="方正仿宋_GBK"/>
          <w:szCs w:val="32"/>
        </w:rPr>
        <w:t>填报日期：</w:t>
      </w:r>
    </w:p>
    <w:tbl>
      <w:tblPr>
        <w:tblStyle w:val="6"/>
        <w:tblW w:w="15239" w:type="dxa"/>
        <w:jc w:val="center"/>
        <w:tblLayout w:type="fixed"/>
        <w:tblCellMar>
          <w:top w:w="0" w:type="dxa"/>
          <w:left w:w="108" w:type="dxa"/>
          <w:bottom w:w="0" w:type="dxa"/>
          <w:right w:w="108" w:type="dxa"/>
        </w:tblCellMar>
      </w:tblPr>
      <w:tblGrid>
        <w:gridCol w:w="2376"/>
        <w:gridCol w:w="2694"/>
        <w:gridCol w:w="2551"/>
        <w:gridCol w:w="2552"/>
        <w:gridCol w:w="2551"/>
        <w:gridCol w:w="2515"/>
      </w:tblGrid>
      <w:tr>
        <w:tblPrEx>
          <w:tblCellMar>
            <w:top w:w="0" w:type="dxa"/>
            <w:left w:w="108" w:type="dxa"/>
            <w:bottom w:w="0" w:type="dxa"/>
            <w:right w:w="108" w:type="dxa"/>
          </w:tblCellMar>
        </w:tblPrEx>
        <w:trPr>
          <w:trHeight w:val="513" w:hRule="atLeast"/>
          <w:jc w:val="center"/>
        </w:trPr>
        <w:tc>
          <w:tcPr>
            <w:tcW w:w="237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项</w:t>
            </w:r>
            <w:r>
              <w:rPr>
                <w:rFonts w:eastAsia="宋体" w:cs="宋体"/>
                <w:color w:val="000000"/>
                <w:kern w:val="0"/>
                <w:sz w:val="22"/>
                <w:szCs w:val="22"/>
              </w:rPr>
              <w:t xml:space="preserve">    </w:t>
            </w:r>
            <w:r>
              <w:rPr>
                <w:rFonts w:hint="eastAsia" w:hAnsi="宋体" w:eastAsia="宋体" w:cs="宋体"/>
                <w:color w:val="000000"/>
                <w:kern w:val="0"/>
                <w:sz w:val="22"/>
                <w:szCs w:val="22"/>
              </w:rPr>
              <w:t>目</w:t>
            </w:r>
          </w:p>
        </w:tc>
        <w:tc>
          <w:tcPr>
            <w:tcW w:w="2694"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人员配备率</w:t>
            </w:r>
          </w:p>
        </w:tc>
        <w:tc>
          <w:tcPr>
            <w:tcW w:w="2551"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医学人员配备率</w:t>
            </w:r>
          </w:p>
        </w:tc>
        <w:tc>
          <w:tcPr>
            <w:tcW w:w="2552"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结算效率</w:t>
            </w:r>
          </w:p>
        </w:tc>
        <w:tc>
          <w:tcPr>
            <w:tcW w:w="2551"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支付效率</w:t>
            </w:r>
          </w:p>
        </w:tc>
        <w:tc>
          <w:tcPr>
            <w:tcW w:w="2515" w:type="dxa"/>
            <w:tcBorders>
              <w:top w:val="single" w:color="auto" w:sz="8" w:space="0"/>
              <w:left w:val="nil"/>
              <w:bottom w:val="single" w:color="auto" w:sz="4" w:space="0"/>
              <w:right w:val="single" w:color="auto" w:sz="8"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审核管理</w:t>
            </w:r>
          </w:p>
        </w:tc>
      </w:tr>
      <w:tr>
        <w:tblPrEx>
          <w:tblCellMar>
            <w:top w:w="0" w:type="dxa"/>
            <w:left w:w="108" w:type="dxa"/>
            <w:bottom w:w="0" w:type="dxa"/>
            <w:right w:w="108" w:type="dxa"/>
          </w:tblCellMar>
        </w:tblPrEx>
        <w:trPr>
          <w:trHeight w:val="416" w:hRule="atLeast"/>
          <w:jc w:val="center"/>
        </w:trPr>
        <w:tc>
          <w:tcPr>
            <w:tcW w:w="2376" w:type="dxa"/>
            <w:tcBorders>
              <w:top w:val="nil"/>
              <w:left w:val="single" w:color="auto" w:sz="8" w:space="0"/>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提供部门（单位）</w:t>
            </w:r>
          </w:p>
        </w:tc>
        <w:tc>
          <w:tcPr>
            <w:tcW w:w="2694" w:type="dxa"/>
            <w:tcBorders>
              <w:top w:val="nil"/>
              <w:left w:val="nil"/>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局人事处</w:t>
            </w:r>
          </w:p>
        </w:tc>
        <w:tc>
          <w:tcPr>
            <w:tcW w:w="2551" w:type="dxa"/>
            <w:tcBorders>
              <w:top w:val="nil"/>
              <w:left w:val="nil"/>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局人事处</w:t>
            </w:r>
          </w:p>
        </w:tc>
        <w:tc>
          <w:tcPr>
            <w:tcW w:w="2552" w:type="dxa"/>
            <w:tcBorders>
              <w:top w:val="nil"/>
              <w:left w:val="nil"/>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医保事务管理组</w:t>
            </w:r>
          </w:p>
        </w:tc>
        <w:tc>
          <w:tcPr>
            <w:tcW w:w="2551" w:type="dxa"/>
            <w:tcBorders>
              <w:top w:val="nil"/>
              <w:left w:val="nil"/>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医保事务管理组</w:t>
            </w:r>
          </w:p>
        </w:tc>
        <w:tc>
          <w:tcPr>
            <w:tcW w:w="2515" w:type="dxa"/>
            <w:tcBorders>
              <w:top w:val="nil"/>
              <w:left w:val="nil"/>
              <w:bottom w:val="single" w:color="auto" w:sz="8" w:space="0"/>
              <w:right w:val="single" w:color="auto" w:sz="8"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医保事务管理组</w:t>
            </w:r>
          </w:p>
        </w:tc>
      </w:tr>
      <w:tr>
        <w:tblPrEx>
          <w:tblCellMar>
            <w:top w:w="0" w:type="dxa"/>
            <w:left w:w="108" w:type="dxa"/>
            <w:bottom w:w="0" w:type="dxa"/>
            <w:right w:w="108" w:type="dxa"/>
          </w:tblCellMar>
        </w:tblPrEx>
        <w:trPr>
          <w:trHeight w:val="257" w:hRule="atLeast"/>
          <w:jc w:val="center"/>
        </w:trPr>
        <w:tc>
          <w:tcPr>
            <w:tcW w:w="2376" w:type="dxa"/>
            <w:tcBorders>
              <w:top w:val="nil"/>
              <w:left w:val="single" w:color="auto" w:sz="8" w:space="0"/>
              <w:bottom w:val="single" w:color="auto" w:sz="8"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提供数据</w:t>
            </w:r>
          </w:p>
        </w:tc>
        <w:tc>
          <w:tcPr>
            <w:tcW w:w="2694" w:type="dxa"/>
            <w:tcBorders>
              <w:top w:val="nil"/>
              <w:left w:val="nil"/>
              <w:bottom w:val="single" w:color="auto" w:sz="8"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8"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2" w:type="dxa"/>
            <w:tcBorders>
              <w:top w:val="nil"/>
              <w:left w:val="nil"/>
              <w:bottom w:val="single" w:color="auto" w:sz="8"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8"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15" w:type="dxa"/>
            <w:tcBorders>
              <w:top w:val="nil"/>
              <w:left w:val="nil"/>
              <w:bottom w:val="single" w:color="auto" w:sz="8" w:space="0"/>
              <w:right w:val="single" w:color="auto" w:sz="8"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r>
      <w:tr>
        <w:tblPrEx>
          <w:tblCellMar>
            <w:top w:w="0" w:type="dxa"/>
            <w:left w:w="108" w:type="dxa"/>
            <w:bottom w:w="0" w:type="dxa"/>
            <w:right w:w="108" w:type="dxa"/>
          </w:tblCellMar>
        </w:tblPrEx>
        <w:trPr>
          <w:trHeight w:val="327" w:hRule="atLeast"/>
          <w:jc w:val="center"/>
        </w:trPr>
        <w:tc>
          <w:tcPr>
            <w:tcW w:w="237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napToGrid w:val="0"/>
              <w:jc w:val="center"/>
              <w:rPr>
                <w:rFonts w:eastAsia="宋体" w:cs="宋体"/>
                <w:color w:val="000000"/>
                <w:kern w:val="0"/>
                <w:sz w:val="22"/>
                <w:szCs w:val="22"/>
              </w:rPr>
            </w:pPr>
            <w:r>
              <w:rPr>
                <w:rFonts w:hAnsi="宋体" w:eastAsia="宋体" w:cs="宋体"/>
                <w:color w:val="000000"/>
                <w:kern w:val="0"/>
                <w:sz w:val="22"/>
                <w:szCs w:val="22"/>
              </w:rPr>
              <w:t>得分</w:t>
            </w:r>
          </w:p>
        </w:tc>
        <w:tc>
          <w:tcPr>
            <w:tcW w:w="2694"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r>
      <w:tr>
        <w:tblPrEx>
          <w:tblCellMar>
            <w:top w:w="0" w:type="dxa"/>
            <w:left w:w="108" w:type="dxa"/>
            <w:bottom w:w="0" w:type="dxa"/>
            <w:right w:w="108" w:type="dxa"/>
          </w:tblCellMar>
        </w:tblPrEx>
        <w:trPr>
          <w:trHeight w:val="369" w:hRule="atLeast"/>
          <w:jc w:val="center"/>
        </w:trPr>
        <w:tc>
          <w:tcPr>
            <w:tcW w:w="15239" w:type="dxa"/>
            <w:gridSpan w:val="6"/>
            <w:tcBorders>
              <w:top w:val="single" w:color="auto" w:sz="8" w:space="0"/>
              <w:left w:val="single" w:color="auto" w:sz="8" w:space="0"/>
              <w:bottom w:val="single" w:color="auto" w:sz="8" w:space="0"/>
              <w:right w:val="single" w:color="auto" w:sz="8" w:space="0"/>
            </w:tcBorders>
            <w:shd w:val="clear" w:color="auto" w:fill="D8D8D8" w:themeFill="background1" w:themeFillShade="D9"/>
            <w:noWrap/>
            <w:vAlign w:val="center"/>
          </w:tcPr>
          <w:p>
            <w:pPr>
              <w:keepNext/>
              <w:keepLines/>
              <w:widowControl/>
              <w:snapToGrid w:val="0"/>
              <w:spacing w:before="340" w:after="330"/>
              <w:jc w:val="center"/>
              <w:rPr>
                <w:rFonts w:eastAsia="宋体" w:cs="宋体"/>
                <w:color w:val="000000"/>
                <w:kern w:val="0"/>
                <w:sz w:val="22"/>
                <w:szCs w:val="22"/>
              </w:rPr>
            </w:pPr>
          </w:p>
        </w:tc>
      </w:tr>
      <w:tr>
        <w:tblPrEx>
          <w:tblCellMar>
            <w:top w:w="0" w:type="dxa"/>
            <w:left w:w="108" w:type="dxa"/>
            <w:bottom w:w="0" w:type="dxa"/>
            <w:right w:w="108" w:type="dxa"/>
          </w:tblCellMar>
        </w:tblPrEx>
        <w:trPr>
          <w:trHeight w:val="659" w:hRule="atLeast"/>
          <w:jc w:val="center"/>
        </w:trPr>
        <w:tc>
          <w:tcPr>
            <w:tcW w:w="237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项</w:t>
            </w:r>
            <w:r>
              <w:rPr>
                <w:rFonts w:eastAsia="宋体" w:cs="宋体"/>
                <w:color w:val="000000"/>
                <w:kern w:val="0"/>
                <w:sz w:val="22"/>
                <w:szCs w:val="22"/>
              </w:rPr>
              <w:t xml:space="preserve">    </w:t>
            </w:r>
            <w:r>
              <w:rPr>
                <w:rFonts w:hint="eastAsia" w:hAnsi="宋体" w:eastAsia="宋体" w:cs="宋体"/>
                <w:color w:val="000000"/>
                <w:kern w:val="0"/>
                <w:sz w:val="22"/>
                <w:szCs w:val="22"/>
              </w:rPr>
              <w:t>目</w:t>
            </w:r>
          </w:p>
        </w:tc>
        <w:tc>
          <w:tcPr>
            <w:tcW w:w="2694"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kern w:val="0"/>
                <w:sz w:val="22"/>
                <w:szCs w:val="22"/>
              </w:rPr>
              <w:t>监督检查</w:t>
            </w:r>
          </w:p>
        </w:tc>
        <w:tc>
          <w:tcPr>
            <w:tcW w:w="2551"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工作配合度</w:t>
            </w:r>
          </w:p>
        </w:tc>
        <w:tc>
          <w:tcPr>
            <w:tcW w:w="2552"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投标承诺完成率</w:t>
            </w:r>
          </w:p>
        </w:tc>
        <w:tc>
          <w:tcPr>
            <w:tcW w:w="2551" w:type="dxa"/>
            <w:tcBorders>
              <w:top w:val="single" w:color="auto" w:sz="8" w:space="0"/>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违规违纪情况</w:t>
            </w:r>
          </w:p>
        </w:tc>
        <w:tc>
          <w:tcPr>
            <w:tcW w:w="2515" w:type="dxa"/>
            <w:tcBorders>
              <w:top w:val="single" w:color="auto" w:sz="8" w:space="0"/>
              <w:left w:val="nil"/>
              <w:bottom w:val="single" w:color="auto" w:sz="4" w:space="0"/>
              <w:right w:val="single" w:color="auto" w:sz="8"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数据信息安全保密</w:t>
            </w:r>
          </w:p>
        </w:tc>
      </w:tr>
      <w:tr>
        <w:tblPrEx>
          <w:tblCellMar>
            <w:top w:w="0" w:type="dxa"/>
            <w:left w:w="108" w:type="dxa"/>
            <w:bottom w:w="0" w:type="dxa"/>
            <w:right w:w="108" w:type="dxa"/>
          </w:tblCellMar>
        </w:tblPrEx>
        <w:trPr>
          <w:trHeight w:val="448" w:hRule="atLeast"/>
          <w:jc w:val="center"/>
        </w:trPr>
        <w:tc>
          <w:tcPr>
            <w:tcW w:w="2376" w:type="dxa"/>
            <w:tcBorders>
              <w:top w:val="nil"/>
              <w:left w:val="single" w:color="auto" w:sz="8" w:space="0"/>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提供部门（单位）</w:t>
            </w:r>
          </w:p>
        </w:tc>
        <w:tc>
          <w:tcPr>
            <w:tcW w:w="2694"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基金监督处</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局各处室（单位）</w:t>
            </w:r>
          </w:p>
        </w:tc>
        <w:tc>
          <w:tcPr>
            <w:tcW w:w="255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医保事务管理组</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ind w:firstLine="220" w:firstLineChars="100"/>
              <w:rPr>
                <w:rFonts w:eastAsia="宋体" w:cs="宋体"/>
                <w:color w:val="000000"/>
                <w:kern w:val="0"/>
                <w:sz w:val="22"/>
                <w:szCs w:val="22"/>
              </w:rPr>
            </w:pPr>
            <w:r>
              <w:rPr>
                <w:rFonts w:hint="eastAsia" w:hAnsi="宋体" w:eastAsia="宋体" w:cs="宋体"/>
                <w:color w:val="000000"/>
                <w:kern w:val="0"/>
                <w:sz w:val="22"/>
                <w:szCs w:val="22"/>
              </w:rPr>
              <w:t>规划财务和法规处</w:t>
            </w:r>
          </w:p>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局各处室（单位）</w:t>
            </w:r>
          </w:p>
        </w:tc>
        <w:tc>
          <w:tcPr>
            <w:tcW w:w="2515" w:type="dxa"/>
            <w:tcBorders>
              <w:top w:val="nil"/>
              <w:left w:val="nil"/>
              <w:bottom w:val="single" w:color="auto" w:sz="4" w:space="0"/>
              <w:right w:val="single" w:color="auto" w:sz="8"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规划财务和法规处</w:t>
            </w:r>
          </w:p>
        </w:tc>
      </w:tr>
      <w:tr>
        <w:tblPrEx>
          <w:tblCellMar>
            <w:top w:w="0" w:type="dxa"/>
            <w:left w:w="108" w:type="dxa"/>
            <w:bottom w:w="0" w:type="dxa"/>
            <w:right w:w="108" w:type="dxa"/>
          </w:tblCellMar>
        </w:tblPrEx>
        <w:trPr>
          <w:trHeight w:val="304" w:hRule="atLeast"/>
          <w:jc w:val="center"/>
        </w:trPr>
        <w:tc>
          <w:tcPr>
            <w:tcW w:w="2376" w:type="dxa"/>
            <w:tcBorders>
              <w:top w:val="nil"/>
              <w:left w:val="single" w:color="auto" w:sz="8" w:space="0"/>
              <w:bottom w:val="single" w:color="auto" w:sz="4" w:space="0"/>
              <w:right w:val="single" w:color="auto" w:sz="4" w:space="0"/>
            </w:tcBorders>
            <w:shd w:val="clear" w:color="auto" w:fill="auto"/>
            <w:vAlign w:val="center"/>
          </w:tcPr>
          <w:p>
            <w:pPr>
              <w:widowControl/>
              <w:snapToGrid w:val="0"/>
              <w:jc w:val="center"/>
              <w:rPr>
                <w:rFonts w:eastAsia="宋体" w:cs="宋体"/>
                <w:color w:val="000000"/>
                <w:kern w:val="0"/>
                <w:sz w:val="22"/>
                <w:szCs w:val="22"/>
              </w:rPr>
            </w:pPr>
            <w:r>
              <w:rPr>
                <w:rFonts w:hint="eastAsia" w:hAnsi="宋体" w:eastAsia="宋体" w:cs="宋体"/>
                <w:color w:val="000000"/>
                <w:kern w:val="0"/>
                <w:sz w:val="22"/>
                <w:szCs w:val="22"/>
              </w:rPr>
              <w:t>提供数据</w:t>
            </w:r>
          </w:p>
        </w:tc>
        <w:tc>
          <w:tcPr>
            <w:tcW w:w="2694" w:type="dxa"/>
            <w:tcBorders>
              <w:top w:val="nil"/>
              <w:left w:val="nil"/>
              <w:bottom w:val="single" w:color="auto" w:sz="4"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4"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2" w:type="dxa"/>
            <w:tcBorders>
              <w:top w:val="nil"/>
              <w:left w:val="nil"/>
              <w:bottom w:val="single" w:color="auto" w:sz="4"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4"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15" w:type="dxa"/>
            <w:tcBorders>
              <w:top w:val="nil"/>
              <w:left w:val="nil"/>
              <w:bottom w:val="single" w:color="auto" w:sz="4" w:space="0"/>
              <w:right w:val="single" w:color="auto" w:sz="8"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r>
      <w:tr>
        <w:tblPrEx>
          <w:tblCellMar>
            <w:top w:w="0" w:type="dxa"/>
            <w:left w:w="108" w:type="dxa"/>
            <w:bottom w:w="0" w:type="dxa"/>
            <w:right w:w="108" w:type="dxa"/>
          </w:tblCellMar>
        </w:tblPrEx>
        <w:trPr>
          <w:trHeight w:val="346" w:hRule="atLeast"/>
          <w:jc w:val="center"/>
        </w:trPr>
        <w:tc>
          <w:tcPr>
            <w:tcW w:w="2376" w:type="dxa"/>
            <w:tcBorders>
              <w:top w:val="nil"/>
              <w:left w:val="single" w:color="auto" w:sz="8" w:space="0"/>
              <w:bottom w:val="single" w:color="auto" w:sz="8" w:space="0"/>
              <w:right w:val="single" w:color="auto" w:sz="4" w:space="0"/>
            </w:tcBorders>
            <w:shd w:val="clear" w:color="auto" w:fill="auto"/>
            <w:noWrap/>
            <w:vAlign w:val="center"/>
          </w:tcPr>
          <w:p>
            <w:pPr>
              <w:widowControl/>
              <w:snapToGrid w:val="0"/>
              <w:jc w:val="center"/>
              <w:rPr>
                <w:rFonts w:eastAsia="宋体" w:cs="宋体"/>
                <w:color w:val="000000"/>
                <w:kern w:val="0"/>
                <w:sz w:val="22"/>
                <w:szCs w:val="22"/>
              </w:rPr>
            </w:pPr>
            <w:r>
              <w:rPr>
                <w:rFonts w:hAnsi="宋体" w:eastAsia="宋体" w:cs="宋体"/>
                <w:color w:val="000000"/>
                <w:kern w:val="0"/>
                <w:sz w:val="22"/>
                <w:szCs w:val="22"/>
              </w:rPr>
              <w:t>得分</w:t>
            </w:r>
          </w:p>
        </w:tc>
        <w:tc>
          <w:tcPr>
            <w:tcW w:w="2694" w:type="dxa"/>
            <w:tcBorders>
              <w:top w:val="nil"/>
              <w:left w:val="nil"/>
              <w:bottom w:val="single" w:color="auto" w:sz="8" w:space="0"/>
              <w:right w:val="single" w:color="auto" w:sz="4"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8" w:space="0"/>
              <w:right w:val="single" w:color="auto" w:sz="4"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52" w:type="dxa"/>
            <w:tcBorders>
              <w:top w:val="nil"/>
              <w:left w:val="nil"/>
              <w:bottom w:val="single" w:color="auto" w:sz="8" w:space="0"/>
              <w:right w:val="single" w:color="auto" w:sz="4" w:space="0"/>
            </w:tcBorders>
            <w:shd w:val="clear" w:color="auto" w:fill="auto"/>
            <w:vAlign w:val="center"/>
          </w:tcPr>
          <w:p>
            <w:pPr>
              <w:keepNext/>
              <w:keepLines/>
              <w:widowControl/>
              <w:snapToGrid w:val="0"/>
              <w:spacing w:before="340" w:after="330"/>
              <w:jc w:val="center"/>
              <w:rPr>
                <w:rFonts w:eastAsia="宋体" w:cs="宋体"/>
                <w:color w:val="000000"/>
                <w:kern w:val="0"/>
                <w:sz w:val="22"/>
                <w:szCs w:val="22"/>
              </w:rPr>
            </w:pPr>
          </w:p>
        </w:tc>
        <w:tc>
          <w:tcPr>
            <w:tcW w:w="2551" w:type="dxa"/>
            <w:tcBorders>
              <w:top w:val="nil"/>
              <w:left w:val="nil"/>
              <w:bottom w:val="single" w:color="auto" w:sz="8" w:space="0"/>
              <w:right w:val="single" w:color="auto" w:sz="4"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c>
          <w:tcPr>
            <w:tcW w:w="2515" w:type="dxa"/>
            <w:tcBorders>
              <w:top w:val="nil"/>
              <w:left w:val="nil"/>
              <w:bottom w:val="single" w:color="auto" w:sz="8" w:space="0"/>
              <w:right w:val="single" w:color="auto" w:sz="8" w:space="0"/>
            </w:tcBorders>
            <w:shd w:val="clear" w:color="auto" w:fill="auto"/>
            <w:noWrap/>
            <w:vAlign w:val="center"/>
          </w:tcPr>
          <w:p>
            <w:pPr>
              <w:keepNext/>
              <w:keepLines/>
              <w:widowControl/>
              <w:snapToGrid w:val="0"/>
              <w:spacing w:before="340" w:after="330"/>
              <w:jc w:val="center"/>
              <w:rPr>
                <w:rFonts w:eastAsia="宋体" w:cs="宋体"/>
                <w:color w:val="000000"/>
                <w:kern w:val="0"/>
                <w:sz w:val="22"/>
                <w:szCs w:val="22"/>
              </w:rPr>
            </w:pPr>
          </w:p>
        </w:tc>
      </w:tr>
    </w:tbl>
    <w:p>
      <w:pPr>
        <w:spacing w:line="300" w:lineRule="exact"/>
        <w:rPr>
          <w:rFonts w:eastAsia="方正仿宋_GBK"/>
          <w:szCs w:val="32"/>
        </w:rPr>
      </w:pPr>
      <w:r>
        <w:rPr>
          <w:rFonts w:hint="eastAsia" w:eastAsia="方正仿宋_GBK"/>
          <w:szCs w:val="32"/>
        </w:rPr>
        <w:t>填报人：</w:t>
      </w:r>
      <w:r>
        <w:rPr>
          <w:rFonts w:eastAsia="方正仿宋_GBK"/>
          <w:szCs w:val="32"/>
        </w:rPr>
        <w:t xml:space="preserve">                         </w:t>
      </w:r>
      <w:r>
        <w:rPr>
          <w:rFonts w:hint="eastAsia" w:eastAsia="方正仿宋_GBK"/>
          <w:szCs w:val="32"/>
        </w:rPr>
        <w:t>审核人：</w:t>
      </w:r>
      <w:r>
        <w:rPr>
          <w:rFonts w:eastAsia="方正仿宋_GBK"/>
          <w:szCs w:val="32"/>
        </w:rPr>
        <w:t xml:space="preserve">                       </w:t>
      </w:r>
      <w:r>
        <w:rPr>
          <w:rFonts w:hint="eastAsia" w:eastAsia="方正仿宋_GBK"/>
          <w:szCs w:val="32"/>
        </w:rPr>
        <w:t>联系电话：</w:t>
      </w:r>
    </w:p>
    <w:p>
      <w:pPr>
        <w:pStyle w:val="8"/>
        <w:spacing w:line="560" w:lineRule="exact"/>
        <w:ind w:firstLine="0" w:firstLineChars="0"/>
        <w:rPr>
          <w:rFonts w:ascii="方正黑体_GBK" w:eastAsia="方正黑体_GBK"/>
          <w:szCs w:val="32"/>
        </w:rPr>
      </w:pPr>
      <w:r>
        <w:rPr>
          <w:rFonts w:ascii="方正仿宋_GBK" w:eastAsia="方正仿宋_GBK"/>
          <w:szCs w:val="32"/>
        </w:rPr>
        <w:br w:type="page"/>
      </w:r>
      <w:r>
        <w:rPr>
          <w:rFonts w:hint="eastAsia" w:eastAsia="方正黑体_GBK"/>
          <w:szCs w:val="32"/>
        </w:rPr>
        <w:t>附件3</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承办区县细化考核数据及评分情况表</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（职工大额/居民大病）</w:t>
      </w:r>
    </w:p>
    <w:p>
      <w:pPr>
        <w:jc w:val="left"/>
        <w:rPr>
          <w:rFonts w:ascii="方正仿宋_GBK" w:eastAsia="方正仿宋_GBK"/>
          <w:szCs w:val="32"/>
        </w:rPr>
      </w:pPr>
      <w:r>
        <w:rPr>
          <w:rFonts w:hint="eastAsia" w:ascii="方正仿宋_GBK" w:eastAsia="方正仿宋_GBK"/>
          <w:szCs w:val="32"/>
        </w:rPr>
        <w:t>填报区县：（盖章）                                           填报日期：</w:t>
      </w:r>
    </w:p>
    <w:tbl>
      <w:tblPr>
        <w:tblStyle w:val="6"/>
        <w:tblpPr w:leftFromText="180" w:rightFromText="180" w:vertAnchor="text" w:horzAnchor="margin" w:tblpY="148"/>
        <w:tblW w:w="14142" w:type="dxa"/>
        <w:tblInd w:w="0" w:type="dxa"/>
        <w:tblLayout w:type="fixed"/>
        <w:tblCellMar>
          <w:top w:w="0" w:type="dxa"/>
          <w:left w:w="108" w:type="dxa"/>
          <w:bottom w:w="0" w:type="dxa"/>
          <w:right w:w="108" w:type="dxa"/>
        </w:tblCellMar>
      </w:tblPr>
      <w:tblGrid>
        <w:gridCol w:w="2235"/>
        <w:gridCol w:w="3260"/>
        <w:gridCol w:w="2693"/>
        <w:gridCol w:w="2410"/>
        <w:gridCol w:w="3544"/>
      </w:tblGrid>
      <w:tr>
        <w:tblPrEx>
          <w:tblCellMar>
            <w:top w:w="0" w:type="dxa"/>
            <w:left w:w="108" w:type="dxa"/>
            <w:bottom w:w="0" w:type="dxa"/>
            <w:right w:w="108" w:type="dxa"/>
          </w:tblCellMar>
        </w:tblPrEx>
        <w:trPr>
          <w:trHeight w:val="686" w:hRule="atLeast"/>
        </w:trPr>
        <w:tc>
          <w:tcPr>
            <w:tcW w:w="2235"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3260" w:type="dxa"/>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监督检查</w:t>
            </w:r>
          </w:p>
        </w:tc>
        <w:tc>
          <w:tcPr>
            <w:tcW w:w="2693" w:type="dxa"/>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工作配合度</w:t>
            </w:r>
          </w:p>
        </w:tc>
        <w:tc>
          <w:tcPr>
            <w:tcW w:w="2410" w:type="dxa"/>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违规违纪情况</w:t>
            </w:r>
          </w:p>
        </w:tc>
        <w:tc>
          <w:tcPr>
            <w:tcW w:w="3544" w:type="dxa"/>
            <w:tcBorders>
              <w:top w:val="single" w:color="auto" w:sz="8"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数据信息安全保密</w:t>
            </w:r>
          </w:p>
        </w:tc>
      </w:tr>
      <w:tr>
        <w:tblPrEx>
          <w:tblCellMar>
            <w:top w:w="0" w:type="dxa"/>
            <w:left w:w="108" w:type="dxa"/>
            <w:bottom w:w="0" w:type="dxa"/>
            <w:right w:w="108" w:type="dxa"/>
          </w:tblCellMar>
        </w:tblPrEx>
        <w:trPr>
          <w:trHeight w:val="561" w:hRule="atLeast"/>
        </w:trPr>
        <w:tc>
          <w:tcPr>
            <w:tcW w:w="2235"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提供内容</w:t>
            </w:r>
          </w:p>
        </w:tc>
        <w:tc>
          <w:tcPr>
            <w:tcW w:w="32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配合医保部门进行监督检查工作效率</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创新性工作项数</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违规违纪次数</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违反安全保密管理次数、有否重大影响和安全事故</w:t>
            </w:r>
          </w:p>
        </w:tc>
      </w:tr>
      <w:tr>
        <w:tblPrEx>
          <w:tblCellMar>
            <w:top w:w="0" w:type="dxa"/>
            <w:left w:w="108" w:type="dxa"/>
            <w:bottom w:w="0" w:type="dxa"/>
            <w:right w:w="108" w:type="dxa"/>
          </w:tblCellMar>
        </w:tblPrEx>
        <w:trPr>
          <w:trHeight w:val="754" w:hRule="atLeast"/>
        </w:trPr>
        <w:tc>
          <w:tcPr>
            <w:tcW w:w="2235"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提供数据</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24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354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760" w:hRule="atLeast"/>
        </w:trPr>
        <w:tc>
          <w:tcPr>
            <w:tcW w:w="2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得分</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kern w:val="0"/>
                <w:sz w:val="22"/>
                <w:szCs w:val="22"/>
              </w:rPr>
            </w:pPr>
          </w:p>
        </w:tc>
      </w:tr>
    </w:tbl>
    <w:p>
      <w:pPr>
        <w:rPr>
          <w:rFonts w:ascii="方正仿宋_GBK" w:eastAsia="方正仿宋_GBK"/>
          <w:szCs w:val="32"/>
        </w:rPr>
      </w:pPr>
      <w:r>
        <w:rPr>
          <w:rFonts w:hint="eastAsia" w:ascii="方正仿宋_GBK" w:eastAsia="方正仿宋_GBK"/>
          <w:szCs w:val="32"/>
        </w:rPr>
        <w:t>填报人：                       审核人：                       联系电话：</w:t>
      </w:r>
    </w:p>
    <w:p>
      <w:pPr>
        <w:rPr>
          <w:rFonts w:ascii="方正仿宋_GBK" w:eastAsia="方正仿宋_GBK"/>
          <w:sz w:val="28"/>
          <w:szCs w:val="28"/>
        </w:rPr>
      </w:pPr>
    </w:p>
    <w:p>
      <w:pPr>
        <w:rPr>
          <w:rFonts w:ascii="Times New Roman" w:hAnsi="Times New Roman" w:eastAsia="方正仿宋_GBK"/>
          <w:vanish/>
          <w:szCs w:val="32"/>
        </w:rPr>
      </w:pPr>
      <w:r>
        <w:rPr>
          <w:rFonts w:hint="eastAsia" w:ascii="Times New Roman" w:hAnsi="Times New Roman" w:eastAsia="方正仿宋_GBK"/>
          <w:sz w:val="28"/>
          <w:szCs w:val="28"/>
        </w:rPr>
        <w:t>说明：对“工作配合度”应提供打分说明和佐证资料，其他各项指标评分尽量量化，对不能量化的，需对评分进行单独说明理由并提供佐证资料；每年2月底前，将报表传真到88975317。</w:t>
      </w:r>
    </w:p>
    <w:p>
      <w:pPr>
        <w:rPr>
          <w:vanish/>
        </w:rPr>
      </w:pPr>
    </w:p>
    <w:p>
      <w:pPr>
        <w:rPr>
          <w:rFonts w:ascii="方正仿宋_GBK" w:eastAsia="方正仿宋_GBK"/>
          <w:vanish/>
          <w:color w:val="010000"/>
          <w:szCs w:val="32"/>
        </w:rPr>
      </w:pPr>
    </w:p>
    <w:p>
      <w:pPr>
        <w:rPr>
          <w:rFonts w:ascii="方正仿宋_GBK" w:eastAsia="方正仿宋_GBK"/>
          <w:vanish/>
          <w:szCs w:val="32"/>
        </w:rPr>
        <w:sectPr>
          <w:pgSz w:w="16838" w:h="11906" w:orient="landscape"/>
          <w:pgMar w:top="1021" w:right="1247" w:bottom="964" w:left="1247" w:header="851" w:footer="992" w:gutter="0"/>
          <w:pgNumType w:fmt="decimal"/>
          <w:cols w:space="425" w:num="1"/>
          <w:docGrid w:linePitch="312" w:charSpace="0"/>
        </w:sectPr>
      </w:pPr>
    </w:p>
    <w:p>
      <w:pPr>
        <w:spacing w:line="60" w:lineRule="auto"/>
        <w:rPr>
          <w:vanish/>
        </w:rPr>
      </w:pPr>
    </w:p>
    <w:sectPr>
      <w:pgSz w:w="11906" w:h="16838"/>
      <w:pgMar w:top="1247" w:right="1474" w:bottom="1247"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-274320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6pt;height:144pt;width:144pt;mso-position-horizontal:outside;mso-position-horizontal-relative:margin;mso-wrap-style:none;z-index:251661312;mso-width-relative:page;mso-height-relative:page;" filled="f" stroked="f" coordsize="21600,21600" o:gfxdata="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seM/f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6114248"/>
        <w:docPartObj>
          <w:docPartGallery w:val="autotext"/>
        </w:docPartObj>
      </w:sdtPr>
      <w:sdtEndPr>
        <w:rPr>
          <w:rFonts w:asciiTheme="minorEastAsia" w:hAnsiTheme="minorEastAsia" w:eastAsiaTheme="minorEastAsia"/>
          <w:sz w:val="28"/>
          <w:szCs w:val="28"/>
        </w:rPr>
      </w:sdtEndPr>
      <w:sdtContent>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-8255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5pt;height:0.15pt;width:442.25pt;z-index:251660288;mso-width-relative:page;mso-height-relative:page;" filled="f" stroked="t" coordsize="21600,21600" o:gfxdata="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ADQzs0QAAAAcBAAAPAAAAAAAAAAEA&#10;IAAAACIAAABkcnMvZG93bnJldi54bWxQSwECFAAUAAAACACHTuJAwaVJlt0BAACeAwAADgAAAAAA&#10;AAABACAAAAAgAQAAZHJzL2Uyb0RvYy54bWxQSwUGAAAAAAYABgBZAQAAbw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2336;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OpVw3XWAAAACAEAAA8AAAAAAAAAAQAgAAAAIgAAAGRycy9kb3ducmV2LnhtbFBL&#10;AQIUABQAAAAIAIdO4kBfyKa93AIAACQGAAAOAAAAAAAAAAEAIAAAACUBAABkcnMvZTJvRG9jLnht&#10;bFBLBQYAAAAABgAGAFkBAABz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sdt>
      <w:sdtPr>
        <w:rPr>
          <w:rFonts w:asciiTheme="minorEastAsia" w:hAnsiTheme="minorEastAsia" w:eastAsiaTheme="minorEastAsia"/>
          <w:sz w:val="28"/>
          <w:szCs w:val="28"/>
        </w:rPr>
        <w:id w:val="6114249"/>
        <w:docPartObj>
          <w:docPartGallery w:val="autotext"/>
        </w:docPartObj>
      </w:sdtPr>
      <w:sdtEndPr>
        <w:rPr>
          <w:rFonts w:asciiTheme="minorEastAsia" w:hAnsiTheme="minorEastAsia" w:eastAsiaTheme="minorEastAsia"/>
          <w:sz w:val="28"/>
          <w:szCs w:val="28"/>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sdt>
      <w:sdtPr>
        <w:id w:val="6114248"/>
        <w:docPartObj>
          <w:docPartGallery w:val="autotext"/>
        </w:docPartObj>
      </w:sdtPr>
      <w:sdtEndPr>
        <w:rPr>
          <w:rFonts w:asciiTheme="minorEastAsia" w:hAnsiTheme="minorEastAsia" w:eastAsiaTheme="minorEastAsia"/>
          <w:sz w:val="28"/>
          <w:szCs w:val="28"/>
        </w:rPr>
      </w:sdtEndPr>
      <w:sdtContent>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-8255</wp:posOffset>
                  </wp:positionV>
                  <wp:extent cx="5616575" cy="1905"/>
                  <wp:effectExtent l="0" t="10795" r="6985" b="17780"/>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5pt;height:0.15pt;width:442.25pt;z-index:251663360;mso-width-relative:page;mso-height-relative:page;" filled="f" stroked="t" coordsize="21600,21600" o:gfxdata="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ANDOzRAAAABwEAAA8AAAAAAAAAAQAg&#10;AAAAIgAAAGRycy9kb3ducmV2LnhtbFBLAQIUABQAAAAIAIdO4kC1hJuT3AEAAJ4DAAAOAAAAAAAA&#10;AAEAIAAAACABAABkcnMvZTJvRG9jLnhtbFBLBQYAAAAABgAGAFkBAABu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z22q0QAAAAcBAAAPAAAAAAAAAAEAIAAA&#10;ACIAAABkcnMvZG93bnJldi54bWxQSwECFAAUAAAACACHTuJA8Ycv5toBAACbAwAADgAAAAAAAAAB&#10;ACAAAAAgAQAAZHJzL2Uyb0RvYy54bWxQSwUGAAAAAAYABgBZAQAAbA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76FCD"/>
    <w:rsid w:val="00000687"/>
    <w:rsid w:val="000517D4"/>
    <w:rsid w:val="000B7A41"/>
    <w:rsid w:val="000D03C1"/>
    <w:rsid w:val="000E4AE6"/>
    <w:rsid w:val="00112CB6"/>
    <w:rsid w:val="00125C8A"/>
    <w:rsid w:val="00151F8D"/>
    <w:rsid w:val="00180612"/>
    <w:rsid w:val="00183D5C"/>
    <w:rsid w:val="001876B2"/>
    <w:rsid w:val="001A2689"/>
    <w:rsid w:val="001D0F60"/>
    <w:rsid w:val="001F09BB"/>
    <w:rsid w:val="00231671"/>
    <w:rsid w:val="002B0C61"/>
    <w:rsid w:val="002B24FC"/>
    <w:rsid w:val="0031545B"/>
    <w:rsid w:val="00330532"/>
    <w:rsid w:val="003F2F80"/>
    <w:rsid w:val="0049055A"/>
    <w:rsid w:val="004B1C0D"/>
    <w:rsid w:val="004C05D6"/>
    <w:rsid w:val="004E3BAD"/>
    <w:rsid w:val="004E6D98"/>
    <w:rsid w:val="004F0DFB"/>
    <w:rsid w:val="004F242C"/>
    <w:rsid w:val="005361F8"/>
    <w:rsid w:val="005512A3"/>
    <w:rsid w:val="005613DD"/>
    <w:rsid w:val="00564143"/>
    <w:rsid w:val="005A2E92"/>
    <w:rsid w:val="005A64EE"/>
    <w:rsid w:val="005C6667"/>
    <w:rsid w:val="00614EDE"/>
    <w:rsid w:val="00627D4C"/>
    <w:rsid w:val="00631CC5"/>
    <w:rsid w:val="006405AD"/>
    <w:rsid w:val="00643812"/>
    <w:rsid w:val="00657FA7"/>
    <w:rsid w:val="00663889"/>
    <w:rsid w:val="006E1AD7"/>
    <w:rsid w:val="006E39C4"/>
    <w:rsid w:val="00721C3A"/>
    <w:rsid w:val="007472C2"/>
    <w:rsid w:val="007652AE"/>
    <w:rsid w:val="00784E24"/>
    <w:rsid w:val="007F4066"/>
    <w:rsid w:val="00834CB6"/>
    <w:rsid w:val="00860486"/>
    <w:rsid w:val="00877BEF"/>
    <w:rsid w:val="00886707"/>
    <w:rsid w:val="0089622E"/>
    <w:rsid w:val="008A2F1E"/>
    <w:rsid w:val="0092502B"/>
    <w:rsid w:val="00961BA9"/>
    <w:rsid w:val="009A566C"/>
    <w:rsid w:val="009B7902"/>
    <w:rsid w:val="009C4B4A"/>
    <w:rsid w:val="009D53F7"/>
    <w:rsid w:val="009E5119"/>
    <w:rsid w:val="009F41EE"/>
    <w:rsid w:val="009F6268"/>
    <w:rsid w:val="00A35B22"/>
    <w:rsid w:val="00AA0F6D"/>
    <w:rsid w:val="00AB03DA"/>
    <w:rsid w:val="00AD4D1E"/>
    <w:rsid w:val="00B15BF3"/>
    <w:rsid w:val="00B239EC"/>
    <w:rsid w:val="00B56CF3"/>
    <w:rsid w:val="00B56E92"/>
    <w:rsid w:val="00B74100"/>
    <w:rsid w:val="00BD0367"/>
    <w:rsid w:val="00C01B81"/>
    <w:rsid w:val="00C06A77"/>
    <w:rsid w:val="00C53DC4"/>
    <w:rsid w:val="00C9656D"/>
    <w:rsid w:val="00CC7B30"/>
    <w:rsid w:val="00D06507"/>
    <w:rsid w:val="00D33B11"/>
    <w:rsid w:val="00D44C23"/>
    <w:rsid w:val="00D53190"/>
    <w:rsid w:val="00DD25D4"/>
    <w:rsid w:val="00E35C13"/>
    <w:rsid w:val="00E642A0"/>
    <w:rsid w:val="00E70DCD"/>
    <w:rsid w:val="00EC4EC9"/>
    <w:rsid w:val="00F427FF"/>
    <w:rsid w:val="00F55221"/>
    <w:rsid w:val="00F76FCD"/>
    <w:rsid w:val="00F8225F"/>
    <w:rsid w:val="00FA7947"/>
    <w:rsid w:val="00FB0137"/>
    <w:rsid w:val="0D0D1164"/>
    <w:rsid w:val="13CD282A"/>
    <w:rsid w:val="18C03927"/>
    <w:rsid w:val="2FC508E9"/>
    <w:rsid w:val="37213A36"/>
    <w:rsid w:val="40F1366F"/>
    <w:rsid w:val="4A1E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b/>
      <w:color w:val="FF0000"/>
      <w:sz w:val="44"/>
      <w:szCs w:val="32"/>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rFonts w:ascii="Times New Roman" w:hAnsi="Times New Roman" w:eastAsia="仿宋_GB2312" w:cs="Times New Roman"/>
      <w:kern w:val="2"/>
      <w:sz w:val="18"/>
      <w:szCs w:val="18"/>
    </w:rPr>
  </w:style>
  <w:style w:type="character" w:customStyle="1" w:styleId="10">
    <w:name w:val="页脚 Char"/>
    <w:basedOn w:val="7"/>
    <w:link w:val="4"/>
    <w:qFormat/>
    <w:uiPriority w:val="99"/>
    <w:rPr>
      <w:rFonts w:ascii="Times New Roman" w:hAnsi="Times New Roman" w:eastAsia="仿宋_GB2312" w:cs="Times New Roman"/>
      <w:kern w:val="2"/>
      <w:sz w:val="18"/>
      <w:szCs w:val="18"/>
    </w:rPr>
  </w:style>
  <w:style w:type="character" w:customStyle="1" w:styleId="11">
    <w:name w:val="正文文本 Char"/>
    <w:basedOn w:val="7"/>
    <w:link w:val="2"/>
    <w:semiHidden/>
    <w:qFormat/>
    <w:uiPriority w:val="99"/>
    <w:rPr>
      <w:rFonts w:ascii="Times New Roman" w:hAnsi="Times New Roman" w:eastAsia="仿宋_GB2312" w:cs="Times New Roman"/>
      <w:kern w:val="2"/>
      <w:sz w:val="32"/>
    </w:rPr>
  </w:style>
  <w:style w:type="character" w:customStyle="1" w:styleId="12">
    <w:name w:val="正文文本 Char1"/>
    <w:link w:val="2"/>
    <w:qFormat/>
    <w:uiPriority w:val="0"/>
    <w:rPr>
      <w:rFonts w:ascii="Times New Roman" w:hAnsi="Times New Roman" w:eastAsia="仿宋_GB2312" w:cs="Times New Roman"/>
      <w:b/>
      <w:color w:val="FF0000"/>
      <w:kern w:val="2"/>
      <w:sz w:val="44"/>
      <w:szCs w:val="32"/>
    </w:rPr>
  </w:style>
  <w:style w:type="character" w:customStyle="1" w:styleId="13">
    <w:name w:val="批注框文本 Char"/>
    <w:basedOn w:val="7"/>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842</Words>
  <Characters>4805</Characters>
  <Lines>40</Lines>
  <Paragraphs>11</Paragraphs>
  <TotalTime>1</TotalTime>
  <ScaleCrop>false</ScaleCrop>
  <LinksUpToDate>false</LinksUpToDate>
  <CharactersWithSpaces>5636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2020-04-02T00:58:00Z</dcterms:created>
  <dc:creator>yjy1996</dc:creator>
  <cp:lastModifiedBy>姚远</cp:lastModifiedBy>
  <cp:lastPrinted>2020-04-02T01:27:00Z</cp:lastPrinted>
  <dcterms:modified xsi:type="dcterms:W3CDTF">2022-06-22T08:46:35Z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DE33A31AF2F646A19D2AEBE1C12BB7BB</vt:lpwstr>
  </property>
</Properties>
</file>