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重庆市医疗保障局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关于开展门诊慢特病跨省异地就医费用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直接结算试点的通知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方正仿宋_GBK"/>
          <w:sz w:val="32"/>
          <w:szCs w:val="32"/>
        </w:rPr>
      </w:pPr>
      <w:r>
        <w:rPr>
          <w:rFonts w:hint="eastAsia" w:ascii="Times New Roman" w:eastAsia="方正仿宋_GBK" w:cs="方正仿宋_GBK"/>
          <w:sz w:val="32"/>
          <w:szCs w:val="32"/>
        </w:rPr>
        <w:t>渝医保发〔</w:t>
      </w:r>
      <w:r>
        <w:rPr>
          <w:rFonts w:ascii="Times New Roman" w:hAnsi="Times New Roman" w:eastAsia="方正仿宋_GBK"/>
          <w:sz w:val="32"/>
          <w:szCs w:val="32"/>
        </w:rPr>
        <w:t>2020</w:t>
      </w:r>
      <w:r>
        <w:rPr>
          <w:rFonts w:hint="eastAsia" w:ascii="Times New Roman" w:eastAsia="方正仿宋_GBK" w:cs="方正仿宋_GBK"/>
          <w:sz w:val="32"/>
          <w:szCs w:val="32"/>
        </w:rPr>
        <w:t>〕</w:t>
      </w:r>
      <w:r>
        <w:rPr>
          <w:rFonts w:ascii="Times New Roman" w:hAnsi="Times New Roman" w:eastAsia="方正仿宋_GBK"/>
          <w:sz w:val="32"/>
          <w:szCs w:val="32"/>
        </w:rPr>
        <w:t>81</w:t>
      </w:r>
      <w:r>
        <w:rPr>
          <w:rFonts w:hint="eastAsia" w:ascii="Times New Roman" w:eastAsia="方正仿宋_GBK" w:cs="方正仿宋_GBK"/>
          <w:sz w:val="32"/>
          <w:szCs w:val="32"/>
        </w:rPr>
        <w:t>号</w:t>
      </w:r>
    </w:p>
    <w:p>
      <w:pPr>
        <w:spacing w:line="600" w:lineRule="exact"/>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w:t>
      </w:r>
      <w:r>
        <w:rPr>
          <w:rFonts w:hint="eastAsia" w:ascii="Times New Roman" w:hAnsi="Times New Roman" w:eastAsia="方正仿宋_GBK"/>
          <w:color w:val="000000"/>
          <w:sz w:val="32"/>
        </w:rPr>
        <w:t>医疗保障局，两江新区社会保障局、</w:t>
      </w:r>
      <w:r>
        <w:rPr>
          <w:rFonts w:hint="eastAsia" w:ascii="Times New Roman" w:hAnsi="Times New Roman" w:eastAsia="方正仿宋_GBK"/>
          <w:color w:val="000000"/>
          <w:sz w:val="32"/>
          <w:szCs w:val="32"/>
        </w:rPr>
        <w:t>高新区政务服务和社会事务中心、</w:t>
      </w:r>
      <w:r>
        <w:rPr>
          <w:rFonts w:hint="eastAsia" w:ascii="Times New Roman" w:hAnsi="Times New Roman" w:eastAsia="方正仿宋_GBK"/>
          <w:color w:val="000000"/>
          <w:sz w:val="32"/>
        </w:rPr>
        <w:t>万盛经开区人力社保局</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家局医保局、财政部《关于切实做好2020年跨省异地就医医疗费用结算工作的通知》（医保发﹝2020﹞23号）和成渝地区双城经济圈公共服务一体化建设要求，为进一步深化西南片区跨省门诊异地就医直接结算范围，试点开展门诊慢特病费用跨省直接结算，现将有关事宜通知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黑体_GBK" w:cs="宋体"/>
          <w:bCs/>
          <w:sz w:val="32"/>
          <w:szCs w:val="32"/>
        </w:rPr>
      </w:pPr>
      <w:r>
        <w:rPr>
          <w:rFonts w:hint="eastAsia" w:ascii="Times New Roman" w:hAnsi="Times New Roman" w:eastAsia="方正黑体_GBK" w:cs="宋体"/>
          <w:bCs/>
          <w:sz w:val="32"/>
          <w:szCs w:val="32"/>
        </w:rPr>
        <w:t>一、试点时间及范围</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试点开始时间：2021年1月1日。</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试点地区范围：重庆全市、四川部分统筹区、云南全省、贵州部分统筹区。</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试点病种范围：先期开展高血压、糖尿病两个病种跨省异地就医直接结算，待条件成熟再扩大到其他病种范围。</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黑体_GBK" w:cs="宋体"/>
          <w:bCs/>
          <w:sz w:val="32"/>
          <w:szCs w:val="32"/>
        </w:rPr>
      </w:pPr>
      <w:r>
        <w:rPr>
          <w:rFonts w:hint="eastAsia" w:ascii="Times New Roman" w:hAnsi="Times New Roman" w:eastAsia="方正黑体_GBK" w:cs="宋体"/>
          <w:bCs/>
          <w:sz w:val="32"/>
          <w:szCs w:val="32"/>
        </w:rPr>
        <w:t>二、我市首批试点医疗机构</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经各区县医保局推荐报送，按照需求导向、合理分布原则，确定全市首批试点医疗机构93家，具体名单见附件。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黑体_GBK" w:cs="宋体"/>
          <w:bCs/>
          <w:sz w:val="32"/>
          <w:szCs w:val="32"/>
        </w:rPr>
      </w:pPr>
      <w:r>
        <w:rPr>
          <w:rFonts w:hint="eastAsia" w:ascii="Times New Roman" w:hAnsi="Times New Roman" w:eastAsia="方正黑体_GBK" w:cs="宋体"/>
          <w:bCs/>
          <w:sz w:val="32"/>
          <w:szCs w:val="32"/>
        </w:rPr>
        <w:t>三、工作要求</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楷体_GBK" w:cs="方正仿宋_GBK"/>
          <w:sz w:val="32"/>
          <w:szCs w:val="32"/>
        </w:rPr>
        <w:t>（一）做好医疗机构联网工作。</w:t>
      </w:r>
      <w:r>
        <w:rPr>
          <w:rFonts w:hint="eastAsia" w:ascii="Times New Roman" w:hAnsi="Times New Roman" w:eastAsia="方正仿宋_GBK" w:cs="方正仿宋_GBK"/>
          <w:sz w:val="32"/>
          <w:szCs w:val="32"/>
        </w:rPr>
        <w:t>要高度重视门诊慢特病跨省直接结算工作，指导督促辖区内定点医疗机构进行接口改造及联网测试，确保各试点医疗机构</w:t>
      </w:r>
      <w:r>
        <w:rPr>
          <w:rFonts w:ascii="Times New Roman" w:hAnsi="Times New Roman" w:eastAsia="方正仿宋_GBK" w:cs="方正仿宋_GBK"/>
          <w:sz w:val="32"/>
          <w:szCs w:val="32"/>
        </w:rPr>
        <w:t>202</w:t>
      </w:r>
      <w:r>
        <w:rPr>
          <w:rFonts w:hint="eastAsia" w:ascii="Times New Roman" w:hAnsi="Times New Roman" w:eastAsia="方正仿宋_GBK" w:cs="方正仿宋_GBK"/>
          <w:sz w:val="32"/>
          <w:szCs w:val="32"/>
        </w:rPr>
        <w:t>1年1月1日能正常开展门诊慢特病跨省直接结算。</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楷体_GBK" w:cs="方正仿宋_GBK"/>
          <w:sz w:val="32"/>
          <w:szCs w:val="32"/>
        </w:rPr>
        <w:t>（二）加强异地就医经办服务。</w:t>
      </w:r>
      <w:r>
        <w:rPr>
          <w:rFonts w:hint="eastAsia" w:ascii="Times New Roman" w:hAnsi="Times New Roman" w:eastAsia="方正仿宋_GBK" w:cs="方正仿宋_GBK"/>
          <w:sz w:val="32"/>
          <w:szCs w:val="32"/>
        </w:rPr>
        <w:t>做好参保人异地就医备案工作，为参保人提供便捷化的异地就医登记备案，指导定点医疗机构为异地就医参保人提供高效的就医服务和医保报销结算。</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楷体_GBK" w:cs="方正仿宋_GBK"/>
          <w:sz w:val="32"/>
          <w:szCs w:val="32"/>
        </w:rPr>
        <w:t>（三）加强试点运行监管。</w:t>
      </w:r>
      <w:r>
        <w:rPr>
          <w:rFonts w:hint="eastAsia" w:ascii="Times New Roman" w:hAnsi="Times New Roman" w:eastAsia="方正仿宋_GBK" w:cs="方正仿宋_GBK"/>
          <w:sz w:val="32"/>
          <w:szCs w:val="32"/>
        </w:rPr>
        <w:t>将门诊慢特病跨省直接结算服务纳入医保定点医疗机构协议管理，切实落实就医地管理责任，加强日常费用审核，及时收集运行中存在的问题，做好协调问题处理，重大问题及时向市医保事务中心反馈。</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r>
        <w:rPr>
          <w:rFonts w:hint="eastAsia" w:ascii="Times New Roman" w:hAnsi="Times New Roman" w:eastAsia="方正楷体_GBK" w:cs="方正仿宋_GBK"/>
          <w:sz w:val="32"/>
          <w:szCs w:val="32"/>
        </w:rPr>
        <w:t>（四）做好宣传解释工作。</w:t>
      </w:r>
      <w:r>
        <w:rPr>
          <w:rFonts w:hint="eastAsia" w:ascii="Times New Roman" w:hAnsi="Times New Roman" w:eastAsia="方正仿宋_GBK" w:cs="方正仿宋_GBK"/>
          <w:sz w:val="32"/>
          <w:szCs w:val="32"/>
        </w:rPr>
        <w:t>结合门诊慢特病跨省直接结算试点工作推进情况，通过微信公众号、门户网站、新闻媒体等线上方式，以及在经办机构和医疗机构设置宣传栏、向参保人员发放宣传资料等线下方式进行适度宣传。</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sz w:val="32"/>
          <w:szCs w:val="32"/>
        </w:rPr>
        <w:t>重庆门诊慢特病跨省异地就医直接结算试点医疗机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构名单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重庆市医疗保障局</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2020年12月28日</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方正黑体_GBK" w:eastAsia="方正黑体_GBK" w:cs="方正黑体_GBK"/>
          <w:color w:val="000000"/>
          <w:kern w:val="0"/>
          <w:sz w:val="32"/>
          <w:szCs w:val="32"/>
        </w:rPr>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425" w:num="1"/>
          <w:docGrid w:type="lines" w:linePitch="312" w:charSpace="0"/>
        </w:sectPr>
      </w:pPr>
    </w:p>
    <w:tbl>
      <w:tblPr>
        <w:tblStyle w:val="6"/>
        <w:tblW w:w="8478" w:type="dxa"/>
        <w:jc w:val="center"/>
        <w:tblLayout w:type="fixed"/>
        <w:tblCellMar>
          <w:top w:w="0" w:type="dxa"/>
          <w:left w:w="0" w:type="dxa"/>
          <w:bottom w:w="0" w:type="dxa"/>
          <w:right w:w="0" w:type="dxa"/>
        </w:tblCellMar>
      </w:tblPr>
      <w:tblGrid>
        <w:gridCol w:w="620"/>
        <w:gridCol w:w="1018"/>
        <w:gridCol w:w="1125"/>
        <w:gridCol w:w="4204"/>
        <w:gridCol w:w="1511"/>
      </w:tblGrid>
      <w:tr>
        <w:tblPrEx>
          <w:tblCellMar>
            <w:top w:w="0" w:type="dxa"/>
            <w:left w:w="0" w:type="dxa"/>
            <w:bottom w:w="0" w:type="dxa"/>
            <w:right w:w="0" w:type="dxa"/>
          </w:tblCellMar>
        </w:tblPrEx>
        <w:trPr>
          <w:trHeight w:val="944" w:hRule="atLeast"/>
          <w:jc w:val="center"/>
        </w:trPr>
        <w:tc>
          <w:tcPr>
            <w:tcW w:w="847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ascii="Times New Roman" w:hAnsi="Times New Roman" w:eastAsia="方正黑体_GBK" w:cs="方正黑体_GBK"/>
                <w:color w:val="000000"/>
                <w:kern w:val="0"/>
                <w:sz w:val="32"/>
                <w:szCs w:val="32"/>
              </w:rPr>
            </w:pPr>
            <w:r>
              <w:rPr>
                <w:rFonts w:hint="eastAsia" w:ascii="Times New Roman" w:hAnsi="方正黑体_GBK" w:eastAsia="方正黑体_GBK" w:cs="方正黑体_GBK"/>
                <w:color w:val="000000"/>
                <w:kern w:val="0"/>
                <w:sz w:val="32"/>
                <w:szCs w:val="32"/>
              </w:rPr>
              <w:t>附件</w:t>
            </w:r>
          </w:p>
          <w:p>
            <w:pPr>
              <w:widowControl/>
              <w:spacing w:line="640" w:lineRule="exact"/>
              <w:jc w:val="center"/>
              <w:rPr>
                <w:rFonts w:ascii="Times New Roman" w:hAnsi="方正小标宋_GBK" w:eastAsia="方正小标宋_GBK" w:cs="方正小标宋_GBK"/>
                <w:color w:val="000000"/>
                <w:kern w:val="0"/>
                <w:sz w:val="32"/>
                <w:szCs w:val="32"/>
              </w:rPr>
            </w:pPr>
            <w:r>
              <w:rPr>
                <w:rFonts w:hint="eastAsia" w:ascii="Times New Roman" w:hAnsi="方正小标宋_GBK" w:eastAsia="方正小标宋_GBK" w:cs="方正小标宋_GBK"/>
                <w:color w:val="000000"/>
                <w:kern w:val="0"/>
                <w:sz w:val="32"/>
                <w:szCs w:val="32"/>
              </w:rPr>
              <w:t>重庆门诊慢特病跨省异地就医直接结算试点医疗机构名单</w:t>
            </w:r>
          </w:p>
          <w:p>
            <w:pPr>
              <w:widowControl/>
              <w:spacing w:line="400" w:lineRule="exact"/>
              <w:jc w:val="center"/>
              <w:rPr>
                <w:rFonts w:ascii="Times New Roman" w:hAnsi="Times New Roman" w:eastAsia="方正小标宋_GBK" w:cs="方正小标宋_GBK"/>
                <w:color w:val="000000"/>
                <w:sz w:val="32"/>
                <w:szCs w:val="32"/>
              </w:rPr>
            </w:pP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仿宋_GBK"/>
                <w:color w:val="000000"/>
                <w:sz w:val="26"/>
                <w:szCs w:val="26"/>
              </w:rPr>
            </w:pPr>
            <w:r>
              <w:rPr>
                <w:rFonts w:hint="eastAsia" w:ascii="Times New Roman" w:hAnsi="方正仿宋_GBK" w:eastAsia="方正黑体_GBK" w:cs="方正仿宋_GBK"/>
                <w:color w:val="000000"/>
                <w:kern w:val="0"/>
                <w:sz w:val="26"/>
                <w:szCs w:val="26"/>
              </w:rPr>
              <w:t>序号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仿宋_GBK"/>
                <w:color w:val="000000"/>
                <w:sz w:val="26"/>
                <w:szCs w:val="26"/>
              </w:rPr>
            </w:pPr>
            <w:r>
              <w:rPr>
                <w:rFonts w:hint="eastAsia" w:ascii="Times New Roman" w:hAnsi="方正仿宋_GBK" w:eastAsia="方正黑体_GBK" w:cs="方正仿宋_GBK"/>
                <w:color w:val="000000"/>
                <w:kern w:val="0"/>
                <w:sz w:val="26"/>
                <w:szCs w:val="26"/>
              </w:rPr>
              <w:t>区县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仿宋_GBK"/>
                <w:color w:val="000000"/>
                <w:sz w:val="26"/>
                <w:szCs w:val="26"/>
              </w:rPr>
            </w:pPr>
            <w:r>
              <w:rPr>
                <w:rFonts w:hint="eastAsia" w:ascii="Times New Roman" w:hAnsi="方正仿宋_GBK" w:eastAsia="方正黑体_GBK" w:cs="方正仿宋_GBK"/>
                <w:color w:val="000000"/>
                <w:kern w:val="0"/>
                <w:sz w:val="26"/>
                <w:szCs w:val="26"/>
              </w:rPr>
              <w:t>机构编码</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仿宋_GBK"/>
                <w:color w:val="000000"/>
                <w:sz w:val="26"/>
                <w:szCs w:val="26"/>
              </w:rPr>
            </w:pPr>
            <w:r>
              <w:rPr>
                <w:rFonts w:hint="eastAsia" w:ascii="Times New Roman" w:hAnsi="方正仿宋_GBK" w:eastAsia="方正黑体_GBK" w:cs="方正仿宋_GBK"/>
                <w:color w:val="000000"/>
                <w:kern w:val="0"/>
                <w:sz w:val="26"/>
                <w:szCs w:val="26"/>
              </w:rPr>
              <w:t>医疗机构名称</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黑体_GBK" w:cs="方正仿宋_GBK"/>
                <w:color w:val="000000"/>
                <w:sz w:val="26"/>
                <w:szCs w:val="26"/>
              </w:rPr>
            </w:pPr>
            <w:r>
              <w:rPr>
                <w:rFonts w:hint="eastAsia" w:ascii="Times New Roman" w:hAnsi="方正仿宋_GBK" w:eastAsia="方正黑体_GBK" w:cs="方正仿宋_GBK"/>
                <w:color w:val="000000"/>
                <w:kern w:val="0"/>
                <w:sz w:val="26"/>
                <w:szCs w:val="26"/>
              </w:rPr>
              <w:t>医院等级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市本级</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10019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陆军军医大学第一附属医院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10020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陆军军医大学第二附属医院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10021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陆军特色医学中心</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10017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重庆医科大学附属第一医院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10018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重庆医科大学附属第二医院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10679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重庆医科大学附属第一医院金山医院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11573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重庆医科大学附属大学城医院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11744</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重庆医科大学附属永川医院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9</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66589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重庆医科大学附属第三医院（捷尔医院）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10007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重庆大学附属肿瘤医院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10010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12</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10001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重庆市中医院（道门口院部）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13</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万州区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11403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重庆大学附属三峡医院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14</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11410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重庆市万州区第一人民医院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15</w:t>
            </w:r>
          </w:p>
        </w:tc>
        <w:tc>
          <w:tcPr>
            <w:tcW w:w="10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黔江区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11050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重庆市黔江区中医院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涪陵区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11399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重庆市涪陵中心医院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11397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重庆市涪陵区中医院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渝中区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10003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重庆市第四人民医院</w:t>
            </w:r>
            <w:r>
              <w:rPr>
                <w:rFonts w:hint="eastAsia" w:ascii="Times New Roman" w:hAnsi="Times New Roman" w:eastAsia="方正仿宋_GBK" w:cs="方正仿宋_GBK"/>
                <w:color w:val="000000"/>
                <w:kern w:val="0"/>
                <w:sz w:val="24"/>
                <w:szCs w:val="24"/>
              </w:rPr>
              <w:t>(</w:t>
            </w:r>
            <w:r>
              <w:rPr>
                <w:rFonts w:hint="eastAsia" w:ascii="Times New Roman" w:hAnsi="方正仿宋_GBK" w:eastAsia="方正仿宋_GBK" w:cs="方正仿宋_GBK"/>
                <w:color w:val="000000"/>
                <w:kern w:val="0"/>
                <w:sz w:val="24"/>
                <w:szCs w:val="24"/>
              </w:rPr>
              <w:t>急救中心</w:t>
            </w:r>
            <w:r>
              <w:rPr>
                <w:rFonts w:hint="eastAsia" w:ascii="Times New Roman" w:hAnsi="Times New Roman" w:eastAsia="方正仿宋_GBK" w:cs="方正仿宋_GBK"/>
                <w:color w:val="000000"/>
                <w:kern w:val="0"/>
                <w:sz w:val="24"/>
                <w:szCs w:val="24"/>
              </w:rPr>
              <w:t>)</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10002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重庆市人民医院（三院院区）</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大渡口区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10036</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重庆市大渡口区人民医院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10109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重钢总医院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江北区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10030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重庆市红十字会医院（江北区人民医院）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10032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重庆市江北区中医院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沙坪坝区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10037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重庆市沙坪坝区人民医院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419"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10142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重庆市沙坪坝区陈家桥医院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九龙坡区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10038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重庆市九龙坡区人民医院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10074</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重庆建设医院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南岸区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10046</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重庆市第五人民医院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29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10121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重庆市南岸区中西医结合医院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北碚区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10544</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重庆市第九人民医院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10557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西南大学医院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渝北区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10448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重庆市渝北区人民医院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10449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渝北区中医院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巴南区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10492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巴南区人民医院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10162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重庆市第七人民医院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长寿区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10718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重庆市长寿区人民医院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10719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重庆市长寿区中医院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38</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江津区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11580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重庆市江津区中心医院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39</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11583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重庆市江津区中医院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40</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11584</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重庆市江津区第二人民医院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41</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合川区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10956</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重庆市合川区人民医院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42</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10950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重庆市合川区中医院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43</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永川区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11745</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Style w:val="12"/>
                <w:rFonts w:hint="default" w:ascii="Times New Roman"/>
              </w:rPr>
              <w:t>永川区中医院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三级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44</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11743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永川区人民医院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45</w:t>
            </w:r>
          </w:p>
        </w:tc>
        <w:tc>
          <w:tcPr>
            <w:tcW w:w="1018"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南川区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12047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重庆市南川区人民医院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46</w:t>
            </w:r>
          </w:p>
        </w:tc>
        <w:tc>
          <w:tcPr>
            <w:tcW w:w="101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12050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重庆市南川区中医医院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47</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綦江区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11939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重庆市綦江区人民医院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48</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11932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重庆市綦江区中医院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49</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大足区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11069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重庆市大足区人民医院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50</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10655</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重庆市双桥经济技术开发区人民医院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11070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重庆市大足区中医院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璧山区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11722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璧山区人民医院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11723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重庆市璧山区中医院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铜梁区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12007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重庆市铜梁区人民医院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12022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重庆市铜梁区中医院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潼南区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11678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重庆市潼南区人民医院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11681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重庆市潼南区中医院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荣昌区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11651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重庆市荣昌区人民医院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59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11645</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重庆市荣昌区中医院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开州区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11863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重庆市开州区人民医院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11858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重庆市开州区中医院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梁平区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10997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重庆市梁平区人民医院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10998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重庆市梁平区中医医院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武隆区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11156</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重庆市武隆区人民医院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11154</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重庆市武隆区中医院本部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城口县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10690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城口县人民医院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10691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城口县中医院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丰都县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11467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丰都县人民医院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69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11471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丰都县中医院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垫江县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11167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重庆市垫江县人民医院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11168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重庆市垫江县中医院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忠县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11312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忠县人民医院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11307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忠县中医医院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云阳县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11201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云阳县人民医院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11202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云阳县中医院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奉节县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11316</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奉节县人民医院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11317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奉节县中医院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巫山县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10822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巫山县中医院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79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10815</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巫山县人民医院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巫溪县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10898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巫溪县人民医院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10899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巫溪县中医医院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石柱县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10777</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石柱土家族自治县人民医院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10778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石柱土家族自治县中医院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84</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秀山县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10882</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秀山土家族苗族自治县人民医院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85</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10883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秀山土家族苗族自治县中医医院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86</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酉阳县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11556</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酉阳土家族苗族自治县人民医院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87</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11560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酉阳土家族苗族自治县中医院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88</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彭水县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11130</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彭水苗族土家族自治县人民医院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89</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11133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彭水苗族土家族自治县中医院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90</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两江新区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10238</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重庆两江新区第一人民医院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91</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10273</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重庆两江新区第二人民医院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92</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方正仿宋_GBK" w:eastAsia="方正仿宋_GBK" w:cs="方正仿宋_GBK"/>
                <w:color w:val="000000"/>
                <w:kern w:val="0"/>
                <w:sz w:val="24"/>
                <w:szCs w:val="24"/>
              </w:rPr>
            </w:pPr>
            <w:r>
              <w:rPr>
                <w:rFonts w:hint="eastAsia" w:ascii="Times New Roman" w:hAnsi="方正仿宋_GBK" w:eastAsia="方正仿宋_GBK" w:cs="方正仿宋_GBK"/>
                <w:color w:val="000000"/>
                <w:kern w:val="0"/>
                <w:sz w:val="24"/>
                <w:szCs w:val="24"/>
              </w:rPr>
              <w:t>万盛</w:t>
            </w:r>
          </w:p>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经开区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10831</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重庆南桐矿业有限责任公司总医院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r>
        <w:tblPrEx>
          <w:tblCellMar>
            <w:top w:w="0" w:type="dxa"/>
            <w:left w:w="0" w:type="dxa"/>
            <w:bottom w:w="0" w:type="dxa"/>
            <w:right w:w="0" w:type="dxa"/>
          </w:tblCellMar>
        </w:tblPrEx>
        <w:trPr>
          <w:trHeight w:val="3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93</w:t>
            </w: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center"/>
              <w:rPr>
                <w:rFonts w:ascii="Times New Roman" w:hAnsi="Times New Roman" w:eastAsia="方正仿宋_GBK" w:cs="方正仿宋_GBK"/>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Times New Roman" w:eastAsia="方正仿宋_GBK" w:cs="方正仿宋_GBK"/>
                <w:color w:val="000000"/>
                <w:kern w:val="0"/>
                <w:sz w:val="24"/>
                <w:szCs w:val="24"/>
              </w:rPr>
              <w:t>10829</w:t>
            </w:r>
          </w:p>
        </w:tc>
        <w:tc>
          <w:tcPr>
            <w:tcW w:w="4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重庆市万盛经济技术开发区人民医院</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方正仿宋_GBK" w:cs="方正仿宋_GBK"/>
                <w:color w:val="000000"/>
                <w:sz w:val="24"/>
                <w:szCs w:val="24"/>
              </w:rPr>
            </w:pPr>
            <w:r>
              <w:rPr>
                <w:rFonts w:hint="eastAsia" w:ascii="Times New Roman" w:hAnsi="方正仿宋_GBK" w:eastAsia="方正仿宋_GBK" w:cs="方正仿宋_GBK"/>
                <w:color w:val="000000"/>
                <w:kern w:val="0"/>
                <w:sz w:val="24"/>
                <w:szCs w:val="24"/>
              </w:rPr>
              <w:t>二级</w:t>
            </w:r>
          </w:p>
        </w:tc>
      </w:tr>
    </w:tbl>
    <w:p>
      <w:pPr>
        <w:spacing w:line="300" w:lineRule="exact"/>
        <w:rPr>
          <w:rFonts w:ascii="Times New Roman" w:hAnsi="Times New Roman"/>
        </w:rPr>
      </w:pPr>
    </w:p>
    <w:p>
      <w:pPr>
        <w:pStyle w:val="2"/>
        <w:snapToGrid w:val="0"/>
        <w:spacing w:line="144" w:lineRule="auto"/>
        <w:jc w:val="both"/>
        <w:rPr>
          <w:rFonts w:ascii="Times New Roman" w:hAnsi="Times New Roman" w:eastAsia="方正仿宋_GBK" w:cs="方正仿宋_GBK"/>
          <w:sz w:val="32"/>
        </w:rPr>
      </w:pPr>
      <w:bookmarkStart w:id="0" w:name="_GoBack"/>
      <w:bookmarkEnd w:id="0"/>
    </w:p>
    <w:p>
      <w:pPr>
        <w:rPr>
          <w:rFonts w:ascii="Times New Roman" w:hAnsi="Times New Roman" w:eastAsia="方正仿宋_GBK"/>
          <w:vanish/>
        </w:rPr>
      </w:pPr>
    </w:p>
    <w:sectPr>
      <w:footerReference r:id="rId7"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ahnschrift SemiBold Semi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106680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4pt;height:144pt;width:144pt;mso-position-horizontal:outside;mso-position-horizontal-relative:margin;mso-wrap-style:none;z-index:251660288;mso-width-relative:page;mso-height-relative:page;" filled="f" stroked="f" coordsize="21600,21600" o:gfxdata="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4h58UtcAAAALAQAADwAAAAAAAAABACAAAAAiAAAAZHJzL2Rvd25yZXYueG1s&#10;UEsBAhQAFAAAAAgAh07iQFLilsvdAgAAJAYAAA4AAAAAAAAAAQAgAAAAJgEAAGRycy9lMm9Eb2Mu&#10;eG1sUEsFBgAAAAAGAAYAWQEAAHUG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sdt>
    <w:sdtPr>
      <w:id w:val="2811008"/>
      <w:docPartObj>
        <w:docPartGallery w:val="autotext"/>
      </w:docPartObj>
    </w:sdtPr>
    <w:sdtEndPr>
      <w:rPr>
        <w:rFonts w:ascii="宋体" w:hAnsi="宋体"/>
        <w:sz w:val="28"/>
        <w:szCs w:val="28"/>
      </w:rPr>
    </w:sdtEndPr>
    <w:sdtContent>
      <w:p>
        <w:pPr>
          <w:pStyle w:val="4"/>
          <w:jc w:val="right"/>
        </w:pPr>
      </w:p>
      <w:p>
        <w:pPr>
          <w:pStyle w:val="4"/>
          <w:jc w:val="right"/>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133350</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0.5pt;height:0pt;width:442.55pt;z-index:251660288;mso-width-relative:page;mso-height-relative:page;" filled="f" stroked="t" coordsize="21600,21600" o:gfxdata="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Kw6YPRAAAABgEAAA8AAAAAAAAA&#10;AQAgAAAAIgAAAGRycy9kb3ducmV2LnhtbFBLAQIUABQAAAAIAIdO4kBoaipp3wEAAKkDAAAOAAAA&#10;AAAAAAEAIAAAACABAABkcnMvZTJvRG9jLnhtbFBLBQYAAAAABgAGAFkBAABxBQAAAAA=&#10;">
                  <v:fill on="f" focussize="0,0"/>
                  <v:stroke weight="1.75pt" color="#005192" joinstyle="round"/>
                  <v:imagedata o:title=""/>
                  <o:lock v:ext="edit" aspectratio="f"/>
                </v:line>
              </w:pict>
            </mc:Fallback>
          </mc:AlternateContent>
        </w:r>
      </w:p>
      <w:p>
        <w:pPr>
          <w:pStyle w:val="4"/>
          <w:jc w:val="right"/>
          <w:rPr>
            <w:rFonts w:ascii="宋体" w:hAnsi="宋体"/>
            <w:sz w:val="28"/>
            <w:szCs w:val="28"/>
          </w:rPr>
        </w:pPr>
        <w:r>
          <w:rPr>
            <w:rFonts w:hint="eastAsia" w:ascii="宋体" w:hAnsi="宋体" w:eastAsia="宋体" w:cs="宋体"/>
            <w:b/>
            <w:bCs/>
            <w:color w:val="005192"/>
            <w:sz w:val="28"/>
            <w:szCs w:val="44"/>
            <w:lang w:val="en-US" w:eastAsia="zh-CN"/>
          </w:rPr>
          <w:t>重庆市医疗保障局发布</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1009"/>
      <w:docPartObj>
        <w:docPartGallery w:val="autotext"/>
      </w:docPartObj>
    </w:sdtPr>
    <w:sdtContent>
      <w:p>
        <w:pPr>
          <w:pStyle w:val="4"/>
        </w:pP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18"/>
      </w:rPr>
    </w:pPr>
  </w:p>
  <w:sdt>
    <w:sdtPr>
      <w:id w:val="2811008"/>
      <w:docPartObj>
        <w:docPartGallery w:val="autotext"/>
      </w:docPartObj>
    </w:sdtPr>
    <w:sdtEndPr>
      <w:rPr>
        <w:rFonts w:ascii="宋体" w:hAnsi="宋体"/>
        <w:sz w:val="28"/>
        <w:szCs w:val="28"/>
      </w:rPr>
    </w:sdtEndPr>
    <w:sdtContent>
      <w:p>
        <w:pPr>
          <w:pStyle w:val="4"/>
          <w:jc w:val="right"/>
        </w:pPr>
      </w:p>
      <w:p>
        <w:pPr>
          <w:pStyle w:val="4"/>
          <w:jc w:val="right"/>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133350</wp:posOffset>
                  </wp:positionV>
                  <wp:extent cx="562038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15pt;margin-top:10.5pt;height:0pt;width:442.55pt;z-index:251661312;mso-width-relative:page;mso-height-relative:page;" filled="f" stroked="t" coordsize="21600,21600" o:gfxdata="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Kw6YPRAAAABgEAAA8AAAAAAAAA&#10;AQAgAAAAIgAAAGRycy9kb3ducmV2LnhtbFBLAQIUABQAAAAIAIdO4kChMLGK3wEAAKkDAAAOAAAA&#10;AAAAAAEAIAAAACABAABkcnMvZTJvRG9jLnhtbFBLBQYAAAAABgAGAFkBAABxBQAAAAA=&#10;">
                  <v:fill on="f" focussize="0,0"/>
                  <v:stroke weight="1.75pt" color="#005192" joinstyle="round"/>
                  <v:imagedata o:title=""/>
                  <o:lock v:ext="edit" aspectratio="f"/>
                </v:line>
              </w:pict>
            </mc:Fallback>
          </mc:AlternateContent>
        </w:r>
      </w:p>
      <w:p>
        <w:pPr>
          <w:pStyle w:val="4"/>
          <w:jc w:val="right"/>
          <w:rPr>
            <w:rFonts w:ascii="宋体" w:hAnsi="宋体"/>
            <w:sz w:val="28"/>
            <w:szCs w:val="28"/>
          </w:rPr>
        </w:pPr>
        <w:r>
          <w:rPr>
            <w:rFonts w:hint="eastAsia" w:ascii="宋体" w:hAnsi="宋体" w:eastAsia="宋体" w:cs="宋体"/>
            <w:b/>
            <w:bCs/>
            <w:color w:val="005192"/>
            <w:sz w:val="28"/>
            <w:szCs w:val="44"/>
            <w:lang w:val="en-US" w:eastAsia="zh-CN"/>
          </w:rPr>
          <w:t>重庆市医疗保障局发布</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32.95pt;height:0pt;width:442.55pt;z-index:251659264;mso-width-relative:page;mso-height-relative:page;" filled="f" stroked="t" coordsize="21600,21600" o:gfxdata="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z22q0QAAAAcBAAAPAAAAAAAA&#10;AAEAIAAAACIAAABkcnMvZG93bnJldi54bWxQSwECFAAUAAAACACHTuJA5R7EFuABAACpAwAADgAA&#10;AAAAAAABACAAAAAgAQAAZHJzL2Uyb0RvYy54bWxQSwUGAAAAAAYABgBZAQAAc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5"/>
      <w:pBdr>
        <w:bottom w:val="none" w:color="auto" w:sz="0" w:space="1"/>
      </w:pBdr>
    </w:pPr>
  </w:p>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0B797B"/>
    <w:rsid w:val="00120807"/>
    <w:rsid w:val="001B29FD"/>
    <w:rsid w:val="001E62AC"/>
    <w:rsid w:val="002958C0"/>
    <w:rsid w:val="004375A7"/>
    <w:rsid w:val="00465ED9"/>
    <w:rsid w:val="0049487D"/>
    <w:rsid w:val="004E5A3F"/>
    <w:rsid w:val="005F3C35"/>
    <w:rsid w:val="006236DB"/>
    <w:rsid w:val="006251EB"/>
    <w:rsid w:val="00627C57"/>
    <w:rsid w:val="006761A9"/>
    <w:rsid w:val="006C28A5"/>
    <w:rsid w:val="006C716A"/>
    <w:rsid w:val="00800B09"/>
    <w:rsid w:val="008A1FBB"/>
    <w:rsid w:val="008A3114"/>
    <w:rsid w:val="00944F12"/>
    <w:rsid w:val="00A8021B"/>
    <w:rsid w:val="00BB0F49"/>
    <w:rsid w:val="00BD59F1"/>
    <w:rsid w:val="00BE01F1"/>
    <w:rsid w:val="00C02CA9"/>
    <w:rsid w:val="00C23F0A"/>
    <w:rsid w:val="00D822F4"/>
    <w:rsid w:val="00E10AF5"/>
    <w:rsid w:val="00E95DD5"/>
    <w:rsid w:val="00EC1B42"/>
    <w:rsid w:val="00F65B11"/>
    <w:rsid w:val="00F713B4"/>
    <w:rsid w:val="28DF723E"/>
    <w:rsid w:val="2A447167"/>
    <w:rsid w:val="531B14AC"/>
    <w:rsid w:val="5A210266"/>
    <w:rsid w:val="6E530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jc w:val="center"/>
    </w:p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kern w:val="0"/>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character" w:customStyle="1" w:styleId="10">
    <w:name w:val="正文文本 Char"/>
    <w:semiHidden/>
    <w:qFormat/>
    <w:uiPriority w:val="99"/>
    <w:rPr>
      <w:kern w:val="2"/>
      <w:sz w:val="21"/>
      <w:szCs w:val="22"/>
    </w:rPr>
  </w:style>
  <w:style w:type="character" w:customStyle="1" w:styleId="11">
    <w:name w:val="正文文本 Char1"/>
    <w:link w:val="2"/>
    <w:qFormat/>
    <w:uiPriority w:val="0"/>
    <w:rPr>
      <w:rFonts w:ascii="Times New Roman" w:hAnsi="Times New Roman" w:eastAsia="仿宋_GB2312"/>
      <w:b/>
      <w:color w:val="FF0000"/>
      <w:kern w:val="2"/>
      <w:sz w:val="44"/>
      <w:szCs w:val="32"/>
    </w:rPr>
  </w:style>
  <w:style w:type="character" w:customStyle="1" w:styleId="12">
    <w:name w:val="font21"/>
    <w:basedOn w:val="7"/>
    <w:qFormat/>
    <w:uiPriority w:val="0"/>
    <w:rPr>
      <w:rFonts w:hint="eastAsia" w:ascii="方正仿宋_GBK" w:hAnsi="方正仿宋_GBK" w:eastAsia="方正仿宋_GBK" w:cs="方正仿宋_GBK"/>
      <w:color w:val="000000"/>
      <w:sz w:val="24"/>
      <w:szCs w:val="24"/>
      <w:u w:val="none"/>
    </w:rPr>
  </w:style>
  <w:style w:type="character" w:customStyle="1" w:styleId="13">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528</Words>
  <Characters>3010</Characters>
  <Lines>25</Lines>
  <Paragraphs>7</Paragraphs>
  <TotalTime>1</TotalTime>
  <ScaleCrop>false</ScaleCrop>
  <LinksUpToDate>false</LinksUpToDate>
  <CharactersWithSpaces>3531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2020-12-28T07:07:00Z</dcterms:created>
  <dc:creator>胡娟</dc:creator>
  <cp:lastModifiedBy>姚远</cp:lastModifiedBy>
  <dcterms:modified xsi:type="dcterms:W3CDTF">2022-06-23T01:26:07Z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A676615673954AFC88A993BCB6D42AA3</vt:lpwstr>
  </property>
</Properties>
</file>