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重庆市医疗保障局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关于废止部分行政规范性文件的通知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渝医保发〔2021〕73号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各区县（自治县）医疗保障局，两江新区社会保障局、高新区政务服务和社会事务中心、万盛经开区医疗保障局，局机关各处室、局属事业单位，有关单位：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根据《重庆市行政规范性文件管理办法》（重庆市人民政府令第329号）规定，经重庆市医疗保障局2021年第16次局务会审议通过，决定将《重庆市医疗保障局重庆市财政局关于印发〈重庆市长期护理保险实施细则（试行）〉的通知》（渝医保发〔2018〕14号）等6件行政行政规范性文件予以废止（具体文件目录见附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本通知自2022年1月1日起实施。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附件：废止的行政规范性文件目录（6件）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760" w:firstLineChars="18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重庆市医疗保障局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760" w:firstLineChars="18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2021年12月20日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p>
    <w:p>
      <w:pPr>
        <w:snapToGrid w:val="0"/>
        <w:spacing w:line="560" w:lineRule="exact"/>
        <w:jc w:val="left"/>
        <w:rPr>
          <w:rFonts w:hint="eastAsia" w:ascii="Times New Roman" w:hAnsi="Times New Roman" w:eastAsia="方正黑体_GBK" w:cs="宋体"/>
          <w:kern w:val="0"/>
          <w:sz w:val="32"/>
          <w:szCs w:val="32"/>
        </w:rPr>
        <w:sectPr>
          <w:headerReference r:id="rId3" w:type="default"/>
          <w:footerReference r:id="rId4" w:type="default"/>
          <w:pgSz w:w="11906" w:h="16838"/>
          <w:pgMar w:top="1962" w:right="1474" w:bottom="1848" w:left="1587" w:header="851" w:footer="992" w:gutter="0"/>
          <w:pgNumType w:fmt="decimal"/>
          <w:cols w:space="425" w:num="1"/>
          <w:docGrid w:type="lines" w:linePitch="312" w:charSpace="0"/>
        </w:sectPr>
      </w:pPr>
    </w:p>
    <w:p>
      <w:pPr>
        <w:snapToGrid w:val="0"/>
        <w:spacing w:line="560" w:lineRule="exact"/>
        <w:jc w:val="left"/>
        <w:rPr>
          <w:rFonts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附件</w:t>
      </w:r>
    </w:p>
    <w:p>
      <w:pPr>
        <w:snapToGrid w:val="0"/>
        <w:spacing w:line="600" w:lineRule="exact"/>
        <w:jc w:val="center"/>
        <w:rPr>
          <w:rFonts w:ascii="Times New Roman" w:hAnsi="Times New Roman" w:eastAsia="方正小标宋_GBK" w:cs="宋体"/>
          <w:kern w:val="0"/>
          <w:sz w:val="44"/>
          <w:szCs w:val="44"/>
          <w:lang w:val="zh-CN"/>
        </w:rPr>
      </w:pPr>
    </w:p>
    <w:p>
      <w:pPr>
        <w:snapToGrid w:val="0"/>
        <w:spacing w:line="600" w:lineRule="exact"/>
        <w:jc w:val="center"/>
        <w:rPr>
          <w:rFonts w:hint="eastAsia" w:ascii="方正小标宋_GBK" w:hAnsi="方正小标宋_GBK" w:eastAsia="方正小标宋_GBK" w:cs="方正小标宋_GBK"/>
          <w:kern w:val="0"/>
          <w:sz w:val="44"/>
          <w:szCs w:val="44"/>
          <w:lang w:val="zh-CN"/>
        </w:rPr>
      </w:pPr>
      <w:r>
        <w:rPr>
          <w:rFonts w:hint="eastAsia" w:ascii="方正小标宋_GBK" w:hAnsi="方正小标宋_GBK" w:eastAsia="方正小标宋_GBK" w:cs="方正小标宋_GBK"/>
          <w:kern w:val="0"/>
          <w:sz w:val="44"/>
          <w:szCs w:val="44"/>
          <w:lang w:val="zh-CN"/>
        </w:rPr>
        <w:t>废止的行政规范性文件目录（6件）</w:t>
      </w:r>
    </w:p>
    <w:p>
      <w:pPr>
        <w:snapToGrid w:val="0"/>
        <w:spacing w:line="600" w:lineRule="exact"/>
        <w:jc w:val="center"/>
        <w:rPr>
          <w:rFonts w:hint="eastAsia" w:ascii="方正小标宋_GBK" w:hAnsi="方正小标宋_GBK" w:eastAsia="方正小标宋_GBK" w:cs="方正小标宋_GBK"/>
          <w:kern w:val="0"/>
          <w:sz w:val="44"/>
          <w:szCs w:val="44"/>
          <w:lang w:val="zh-CN"/>
        </w:rPr>
      </w:pPr>
      <w:bookmarkStart w:id="0" w:name="_GoBack"/>
      <w:bookmarkEnd w:id="0"/>
    </w:p>
    <w:tbl>
      <w:tblPr>
        <w:tblStyle w:val="5"/>
        <w:tblW w:w="5065" w:type="pct"/>
        <w:tblInd w:w="0" w:type="dxa"/>
        <w:tblLayout w:type="autofit"/>
        <w:tblCellMar>
          <w:top w:w="0" w:type="dxa"/>
          <w:left w:w="108" w:type="dxa"/>
          <w:bottom w:w="0" w:type="dxa"/>
          <w:right w:w="108" w:type="dxa"/>
        </w:tblCellMar>
      </w:tblPr>
      <w:tblGrid>
        <w:gridCol w:w="540"/>
        <w:gridCol w:w="6214"/>
        <w:gridCol w:w="2425"/>
      </w:tblGrid>
      <w:tr>
        <w:tblPrEx>
          <w:tblCellMar>
            <w:top w:w="0" w:type="dxa"/>
            <w:left w:w="108" w:type="dxa"/>
            <w:bottom w:w="0" w:type="dxa"/>
            <w:right w:w="108" w:type="dxa"/>
          </w:tblCellMar>
        </w:tblPrEx>
        <w:trPr>
          <w:trHeight w:val="285" w:hRule="atLeast"/>
        </w:trPr>
        <w:tc>
          <w:tcPr>
            <w:tcW w:w="29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序号</w:t>
            </w:r>
          </w:p>
        </w:tc>
        <w:tc>
          <w:tcPr>
            <w:tcW w:w="3385" w:type="pct"/>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文件名</w:t>
            </w:r>
          </w:p>
        </w:tc>
        <w:tc>
          <w:tcPr>
            <w:tcW w:w="1321" w:type="pct"/>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文号</w:t>
            </w:r>
          </w:p>
        </w:tc>
      </w:tr>
      <w:tr>
        <w:tblPrEx>
          <w:tblCellMar>
            <w:top w:w="0" w:type="dxa"/>
            <w:left w:w="108" w:type="dxa"/>
            <w:bottom w:w="0" w:type="dxa"/>
            <w:right w:w="108" w:type="dxa"/>
          </w:tblCellMar>
        </w:tblPrEx>
        <w:trPr>
          <w:trHeight w:val="585"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olor w:val="000000"/>
                <w:kern w:val="0"/>
                <w:sz w:val="22"/>
              </w:rPr>
            </w:pPr>
            <w:r>
              <w:rPr>
                <w:rFonts w:ascii="Times New Roman" w:hAnsi="Times New Roman"/>
                <w:color w:val="000000"/>
                <w:kern w:val="0"/>
                <w:sz w:val="22"/>
              </w:rPr>
              <w:t>1</w:t>
            </w:r>
          </w:p>
        </w:tc>
        <w:tc>
          <w:tcPr>
            <w:tcW w:w="3385" w:type="pct"/>
            <w:tcBorders>
              <w:top w:val="nil"/>
              <w:left w:val="nil"/>
              <w:bottom w:val="single" w:color="auto" w:sz="8" w:space="0"/>
              <w:right w:val="single" w:color="auto" w:sz="8" w:space="0"/>
            </w:tcBorders>
            <w:shd w:val="clear" w:color="auto" w:fill="auto"/>
            <w:vAlign w:val="center"/>
          </w:tcPr>
          <w:p>
            <w:pPr>
              <w:widowControl/>
              <w:spacing w:line="500" w:lineRule="exact"/>
              <w:jc w:val="left"/>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重庆市医疗保障局重庆市财政局关于印发《重庆市长期护理保险实施细则（试行）》的通知</w:t>
            </w:r>
          </w:p>
        </w:tc>
        <w:tc>
          <w:tcPr>
            <w:tcW w:w="1321" w:type="pct"/>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1</w:t>
            </w:r>
            <w:r>
              <w:rPr>
                <w:rFonts w:hint="eastAsia" w:ascii="Times New Roman" w:hAnsi="Times New Roman" w:cs="宋体"/>
                <w:color w:val="000000"/>
                <w:kern w:val="0"/>
                <w:sz w:val="22"/>
              </w:rPr>
              <w:t>4号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olor w:val="000000"/>
                <w:kern w:val="0"/>
                <w:sz w:val="22"/>
              </w:rPr>
            </w:pPr>
            <w:r>
              <w:rPr>
                <w:rFonts w:ascii="Times New Roman" w:hAnsi="Times New Roman"/>
                <w:color w:val="000000"/>
                <w:kern w:val="0"/>
                <w:sz w:val="22"/>
              </w:rPr>
              <w:t>2</w:t>
            </w:r>
          </w:p>
        </w:tc>
        <w:tc>
          <w:tcPr>
            <w:tcW w:w="3385" w:type="pct"/>
            <w:tcBorders>
              <w:top w:val="nil"/>
              <w:left w:val="nil"/>
              <w:bottom w:val="single" w:color="auto" w:sz="8" w:space="0"/>
              <w:right w:val="single" w:color="auto" w:sz="8" w:space="0"/>
            </w:tcBorders>
            <w:shd w:val="clear" w:color="auto" w:fill="auto"/>
            <w:vAlign w:val="center"/>
          </w:tcPr>
          <w:p>
            <w:pPr>
              <w:widowControl/>
              <w:spacing w:line="500" w:lineRule="exact"/>
              <w:jc w:val="left"/>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重庆市医疗保障局关于印发《重庆市长期护理保险服务项目和标准（试行）》的通知</w:t>
            </w:r>
          </w:p>
        </w:tc>
        <w:tc>
          <w:tcPr>
            <w:tcW w:w="1321" w:type="pct"/>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〕15号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olor w:val="000000"/>
                <w:kern w:val="0"/>
                <w:sz w:val="22"/>
              </w:rPr>
            </w:pPr>
            <w:r>
              <w:rPr>
                <w:rFonts w:hint="eastAsia" w:ascii="Times New Roman" w:hAnsi="Times New Roman"/>
                <w:color w:val="000000"/>
                <w:kern w:val="0"/>
                <w:sz w:val="22"/>
              </w:rPr>
              <w:t>3</w:t>
            </w:r>
          </w:p>
        </w:tc>
        <w:tc>
          <w:tcPr>
            <w:tcW w:w="3385" w:type="pct"/>
            <w:tcBorders>
              <w:top w:val="nil"/>
              <w:left w:val="nil"/>
              <w:bottom w:val="single" w:color="auto" w:sz="8" w:space="0"/>
              <w:right w:val="single" w:color="auto" w:sz="8" w:space="0"/>
            </w:tcBorders>
            <w:shd w:val="clear" w:color="auto" w:fill="auto"/>
            <w:vAlign w:val="center"/>
          </w:tcPr>
          <w:p>
            <w:pPr>
              <w:widowControl/>
              <w:spacing w:line="500" w:lineRule="exact"/>
              <w:jc w:val="left"/>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重庆市医疗保障局关于印发《重庆市长期护理保险失能等级评定管理办法（试行）》的通知</w:t>
            </w:r>
          </w:p>
        </w:tc>
        <w:tc>
          <w:tcPr>
            <w:tcW w:w="1321" w:type="pct"/>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〕16号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olor w:val="000000"/>
                <w:kern w:val="0"/>
                <w:sz w:val="22"/>
              </w:rPr>
            </w:pPr>
            <w:r>
              <w:rPr>
                <w:rFonts w:hint="eastAsia" w:ascii="Times New Roman" w:hAnsi="Times New Roman"/>
                <w:color w:val="000000"/>
                <w:kern w:val="0"/>
                <w:sz w:val="22"/>
              </w:rPr>
              <w:t>4</w:t>
            </w:r>
          </w:p>
        </w:tc>
        <w:tc>
          <w:tcPr>
            <w:tcW w:w="3385" w:type="pct"/>
            <w:tcBorders>
              <w:top w:val="nil"/>
              <w:left w:val="nil"/>
              <w:bottom w:val="single" w:color="auto" w:sz="8" w:space="0"/>
              <w:right w:val="single" w:color="auto" w:sz="8" w:space="0"/>
            </w:tcBorders>
            <w:shd w:val="clear" w:color="auto" w:fill="auto"/>
            <w:vAlign w:val="center"/>
          </w:tcPr>
          <w:p>
            <w:pPr>
              <w:widowControl/>
              <w:spacing w:line="500" w:lineRule="exact"/>
              <w:jc w:val="left"/>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重庆市医疗保障局关于制定新型冠状病毒核酸检测混检项目价格等有关事项的通知</w:t>
            </w:r>
          </w:p>
        </w:tc>
        <w:tc>
          <w:tcPr>
            <w:tcW w:w="1321" w:type="pct"/>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渝医保发〔2021〕43号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olor w:val="000000"/>
                <w:kern w:val="0"/>
                <w:sz w:val="22"/>
              </w:rPr>
            </w:pPr>
            <w:r>
              <w:rPr>
                <w:rFonts w:hint="eastAsia" w:ascii="Times New Roman" w:hAnsi="Times New Roman"/>
                <w:color w:val="000000"/>
                <w:kern w:val="0"/>
                <w:sz w:val="22"/>
              </w:rPr>
              <w:t>5</w:t>
            </w:r>
          </w:p>
        </w:tc>
        <w:tc>
          <w:tcPr>
            <w:tcW w:w="3385" w:type="pct"/>
            <w:tcBorders>
              <w:top w:val="nil"/>
              <w:left w:val="nil"/>
              <w:bottom w:val="single" w:color="auto" w:sz="8" w:space="0"/>
              <w:right w:val="single" w:color="auto" w:sz="8" w:space="0"/>
            </w:tcBorders>
            <w:shd w:val="clear" w:color="auto" w:fill="auto"/>
            <w:vAlign w:val="center"/>
          </w:tcPr>
          <w:p>
            <w:pPr>
              <w:widowControl/>
              <w:spacing w:line="500" w:lineRule="exact"/>
              <w:jc w:val="left"/>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重庆市医疗保障局关于更正渝医保发〔2021〕43号文件有关事项的通知</w:t>
            </w:r>
          </w:p>
        </w:tc>
        <w:tc>
          <w:tcPr>
            <w:tcW w:w="1321" w:type="pct"/>
            <w:tcBorders>
              <w:top w:val="nil"/>
              <w:left w:val="nil"/>
              <w:bottom w:val="single" w:color="auto" w:sz="8" w:space="0"/>
              <w:right w:val="single" w:color="auto" w:sz="8" w:space="0"/>
            </w:tcBorders>
            <w:shd w:val="clear" w:color="auto" w:fill="auto"/>
            <w:vAlign w:val="center"/>
          </w:tcPr>
          <w:p>
            <w:pPr>
              <w:widowControl/>
              <w:spacing w:line="500" w:lineRule="exact"/>
              <w:jc w:val="center"/>
              <w:textAlignment w:val="center"/>
              <w:rPr>
                <w:rFonts w:ascii="Times New Roman" w:hAnsi="Times New Roman" w:cs="宋体"/>
                <w:color w:val="000000"/>
                <w:kern w:val="0"/>
                <w:sz w:val="22"/>
              </w:rPr>
            </w:pPr>
            <w:r>
              <w:rPr>
                <w:rFonts w:hint="eastAsia" w:ascii="Times New Roman" w:hAnsi="Times New Roman" w:cs="宋体"/>
                <w:color w:val="000000"/>
                <w:kern w:val="0"/>
                <w:sz w:val="22"/>
              </w:rPr>
              <w:t>渝医保发〔2021〕46号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olor w:val="000000"/>
                <w:kern w:val="0"/>
                <w:sz w:val="22"/>
              </w:rPr>
            </w:pPr>
            <w:r>
              <w:rPr>
                <w:rFonts w:hint="eastAsia" w:ascii="Times New Roman" w:hAnsi="Times New Roman"/>
                <w:color w:val="000000"/>
                <w:kern w:val="0"/>
                <w:sz w:val="22"/>
              </w:rPr>
              <w:t>6</w:t>
            </w:r>
          </w:p>
        </w:tc>
        <w:tc>
          <w:tcPr>
            <w:tcW w:w="3385" w:type="pct"/>
            <w:tcBorders>
              <w:top w:val="nil"/>
              <w:left w:val="nil"/>
              <w:bottom w:val="single" w:color="auto" w:sz="8" w:space="0"/>
              <w:right w:val="single" w:color="auto" w:sz="8" w:space="0"/>
            </w:tcBorders>
            <w:shd w:val="clear" w:color="auto" w:fill="auto"/>
            <w:vAlign w:val="center"/>
          </w:tcPr>
          <w:p>
            <w:pPr>
              <w:widowControl/>
              <w:spacing w:line="500" w:lineRule="exact"/>
              <w:jc w:val="left"/>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重庆市医疗保障局关于调整新型冠状病毒核酸检测项目价格的通知</w:t>
            </w:r>
          </w:p>
        </w:tc>
        <w:tc>
          <w:tcPr>
            <w:tcW w:w="1321" w:type="pct"/>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渝医保发〔2021〕51号</w:t>
            </w:r>
          </w:p>
        </w:tc>
      </w:tr>
    </w:tbl>
    <w:p/>
    <w:p>
      <w:pPr>
        <w:snapToGrid w:val="0"/>
        <w:spacing w:line="540" w:lineRule="exact"/>
        <w:rPr>
          <w:rFonts w:ascii="Times New Roman" w:hAnsi="Times New Roman" w:eastAsia="方正小标宋_GBK" w:cs="方正小标宋_GBK"/>
          <w:sz w:val="44"/>
          <w:szCs w:val="44"/>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sectPr>
      <w:footerReference r:id="rId5"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-281940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2pt;height:144pt;width:144pt;mso-position-horizontal:outside;mso-position-horizontal-relative:margin;mso-wrap-style:none;z-index:251661312;mso-width-relative:page;mso-height-relative:page;" filled="f" stroked="f" coordsize="21600,21600" o:gfxdata="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JjeuFD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-7620</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6pt;height:0pt;width:442.55pt;z-index:251660288;mso-width-relative:page;mso-height-relative:page;" filled="f" stroked="t" coordsize="21600,21600" o:gfxdata="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TERrPTAAAACAEA&#10;AA8AAAAAAAAAAQAgAAAAIgAAAGRycy9kb3ducmV2LnhtbFBLAQIUABQAAAAIAIdO4kCcy0jA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-7620</wp:posOffset>
              </wp:positionV>
              <wp:extent cx="562038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6pt;height:0pt;width:442.55pt;z-index:251662336;mso-width-relative:page;mso-height-relative:page;" filled="f" stroked="t" coordsize="21600,21600" o:gfxdata="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DV9wZsHQhd9+/vHr&#10;09e7n19ovf3+jS2SSKPHmnKv7Dacdui3ITE+dMGkP3Fhhyzs8SysPEQmyLm4qMqXS+og7mPFQ6EP&#10;GF9LZ1gyGq6VTZyhhv0bjNSMUu9Tktu6a6V1vjdt2djwir4EDTSMHQ0BmcYTIbQ9Z6B7mnIRQ4ZE&#10;p1WbyhMQhn53pQPbQ5qNcjF/VSWm1O6vtNR7AzhMeTk0TY1RkR6CVqbhyzJ9p2ptCSTpNSmUrJ1r&#10;j1m47KerzG1OY5dm5c99rn54a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MRGs9MAAAAIAQAA&#10;DwAAAAAAAAABACAAAAAiAAAAZHJzL2Rvd25yZXYueG1sUEsBAhQAFAAAAAgAh07iQH1XoGblAQAA&#10;sgMAAA4AAAAAAAAAAQAgAAAAIg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pBdr>
        <w:bottom w:val="none" w:color="auto" w:sz="0" w:space="1"/>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128905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0.15pt;height:0pt;width:442.55pt;z-index:251659264;mso-width-relative:page;mso-height-relative:page;" filled="f" stroked="t" coordsize="21600,21600" o:gfxdata="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Ryvz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4BE4609"/>
    <w:rsid w:val="144C2F08"/>
    <w:rsid w:val="40595166"/>
    <w:rsid w:val="44BE4609"/>
    <w:rsid w:val="5FAA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2022-06-13T01:08:00Z</dcterms:created>
  <dc:creator>姚远</dc:creator>
  <cp:lastModifiedBy>姚远</cp:lastModifiedBy>
  <dcterms:modified xsi:type="dcterms:W3CDTF">2022-06-23T08:59:04Z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92A3DB4D7A0746F798AC734AF3CAB4B4</vt:lpwstr>
  </property>
</Properties>
</file>