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重庆市医疗保障局</w:t>
      </w:r>
    </w:p>
    <w:p>
      <w:pPr>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关于修订清创缝合等医疗服务价格项目的通知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51</w:t>
      </w:r>
      <w:r>
        <w:rPr>
          <w:rFonts w:hint="eastAsia" w:ascii="Calibri" w:hAnsi="Calibri" w:eastAsia="方正仿宋_GBK" w:cs="方正仿宋_GBK"/>
          <w:sz w:val="32"/>
          <w:szCs w:val="32"/>
        </w:rPr>
        <w:t>号</w:t>
      </w:r>
    </w:p>
    <w:p>
      <w:pPr>
        <w:spacing w:line="600" w:lineRule="exact"/>
        <w:rPr>
          <w:rFonts w:ascii="方正小标宋_GBK" w:hAnsi="方正小标宋_GBK" w:eastAsia="方正小标宋_GBK" w:cs="方正小标宋_GBK"/>
          <w:sz w:val="36"/>
          <w:szCs w:val="36"/>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各区县（自治县）医保局，两江新区社会保障局、高新区政务服务和社会事务中心、万盛经开区人力社保局，各公立医疗机构，有关单位：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国家医疗保障局办公室关于进一步做好医疗服务价格管理工作的通知》（医保办发〔2022〕16号）、《国家医保局办公室关于落实2023年度医疗服务价格动态调整促进医疗服务高质量发展的通知》（医保办函〔2023〕66号）等文件精神，经研究，修订部分医疗服务价格项目，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规范部分医疗服务价格项目，修订清创缝合等</w:t>
      </w:r>
      <w:r>
        <w:rPr>
          <w:rFonts w:hint="eastAsia" w:ascii="Times New Roman" w:hAnsi="Times New Roman" w:eastAsia="方正仿宋_GBK" w:cs="方正仿宋_GBK"/>
          <w:sz w:val="32"/>
          <w:szCs w:val="32"/>
          <w:lang w:val="en-US" w:eastAsia="zh-CN"/>
        </w:rPr>
        <w:t>55项</w:t>
      </w:r>
      <w:r>
        <w:rPr>
          <w:rFonts w:hint="eastAsia" w:ascii="Times New Roman" w:hAnsi="Times New Roman" w:eastAsia="方正仿宋_GBK" w:cs="方正仿宋_GBK"/>
          <w:sz w:val="32"/>
          <w:szCs w:val="32"/>
        </w:rPr>
        <w:t>医疗服务价格项目，详见附件1。项目价格表中“政府指导价”</w:t>
      </w:r>
      <w:r>
        <w:rPr>
          <w:rFonts w:hint="eastAsia" w:ascii="Times New Roman" w:hAnsi="Times New Roman" w:eastAsia="方正仿宋_GBK" w:cs="方正仿宋_GBK"/>
          <w:sz w:val="32"/>
          <w:szCs w:val="32"/>
          <w:lang w:eastAsia="zh-CN"/>
        </w:rPr>
        <w:t>为</w:t>
      </w:r>
      <w:r>
        <w:rPr>
          <w:rFonts w:hint="eastAsia" w:ascii="Times New Roman" w:hAnsi="Times New Roman" w:eastAsia="方正仿宋_GBK" w:cs="方正仿宋_GBK"/>
          <w:sz w:val="32"/>
          <w:szCs w:val="32"/>
        </w:rPr>
        <w:t>相应等级公立医疗机构最高限价，医疗机构可自主下浮。同步停用清创缝合</w:t>
      </w:r>
      <w:r>
        <w:rPr>
          <w:rFonts w:hint="eastAsia" w:ascii="Times New Roman" w:hAnsi="Times New Roman" w:eastAsia="方正仿宋_GBK" w:cs="方正仿宋_GBK"/>
          <w:sz w:val="32"/>
          <w:szCs w:val="32"/>
          <w:lang w:eastAsia="zh-CN"/>
        </w:rPr>
        <w:t>（项目编码</w:t>
      </w:r>
      <w:r>
        <w:rPr>
          <w:rFonts w:hint="eastAsia" w:ascii="Times New Roman" w:hAnsi="Times New Roman" w:eastAsia="方正仿宋_GBK" w:cs="方正仿宋_GBK"/>
          <w:sz w:val="32"/>
          <w:szCs w:val="32"/>
          <w:lang w:val="en-US" w:eastAsia="zh-CN"/>
        </w:rPr>
        <w:t>ABE）</w:t>
      </w:r>
      <w:r>
        <w:rPr>
          <w:rFonts w:hint="eastAsia" w:ascii="Times New Roman" w:hAnsi="Times New Roman" w:eastAsia="方正仿宋_GBK" w:cs="方正仿宋_GBK"/>
          <w:sz w:val="32"/>
          <w:szCs w:val="32"/>
        </w:rPr>
        <w:t>等</w:t>
      </w:r>
      <w:r>
        <w:rPr>
          <w:rFonts w:hint="eastAsia" w:ascii="Times New Roman" w:hAnsi="Times New Roman" w:eastAsia="方正仿宋_GBK" w:cs="方正仿宋_GBK"/>
          <w:sz w:val="32"/>
          <w:szCs w:val="32"/>
          <w:lang w:val="en-US" w:eastAsia="zh-CN"/>
        </w:rPr>
        <w:t>20项</w:t>
      </w:r>
      <w:r>
        <w:rPr>
          <w:rFonts w:hint="eastAsia" w:ascii="Times New Roman" w:hAnsi="Times New Roman" w:eastAsia="方正仿宋_GBK" w:cs="方正仿宋_GBK"/>
          <w:sz w:val="32"/>
          <w:szCs w:val="32"/>
        </w:rPr>
        <w:t>医疗服务价格项目，详见附件2。</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二、医保经办机构应在执行日之前做好目录信息维护，将变更的目录信息下发各相关医疗机构。各相关医疗机构HIS系统作好目录下载及更新工作，并对</w:t>
      </w:r>
      <w:r>
        <w:rPr>
          <w:rFonts w:hint="eastAsia" w:ascii="Times New Roman" w:hAnsi="Times New Roman" w:eastAsia="方正仿宋_GBK" w:cs="方正仿宋_GBK"/>
          <w:snapToGrid w:val="0"/>
          <w:kern w:val="0"/>
          <w:sz w:val="32"/>
          <w:szCs w:val="32"/>
          <w:lang w:eastAsia="zh-CN"/>
        </w:rPr>
        <w:t>修订中</w:t>
      </w:r>
      <w:r>
        <w:rPr>
          <w:rFonts w:hint="eastAsia" w:ascii="Times New Roman" w:hAnsi="Times New Roman" w:eastAsia="方正仿宋_GBK" w:cs="方正仿宋_GBK"/>
          <w:snapToGrid w:val="0"/>
          <w:kern w:val="0"/>
          <w:sz w:val="32"/>
          <w:szCs w:val="32"/>
        </w:rPr>
        <w:t>新增、停用项目作对码处理。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三、各级医保部门要加强监管，严格督促相关医疗机构落实价格政策，发现问题及时上报。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四、本通知自2025年1月20日起执行，若国家及我市有新规定的，按新规定执行。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修订清创缝合等医疗服务项目价格表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Times New Roman" w:hAnsi="Times New Roman" w:eastAsia="方正仿宋_GBK" w:cs="方正仿宋_GBK"/>
          <w:b w:val="0"/>
          <w:kern w:val="2"/>
          <w:sz w:val="32"/>
          <w:szCs w:val="32"/>
          <w:lang w:val="en-US" w:eastAsia="zh-CN" w:bidi="ar-SA"/>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b w:val="0"/>
          <w:kern w:val="2"/>
          <w:sz w:val="32"/>
          <w:szCs w:val="32"/>
          <w:lang w:val="en-US" w:eastAsia="zh-CN" w:bidi="ar-SA"/>
        </w:rPr>
        <w:t>2．停用部分医疗服务价格项目表</w:t>
      </w:r>
    </w:p>
    <w:p>
      <w:pPr>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hint="eastAsia" w:ascii="Times New Roman" w:hAnsi="Times New Roman" w:eastAsia="方正仿宋_GBK" w:cs="方正仿宋_GBK"/>
          <w:b w:val="0"/>
          <w:kern w:val="2"/>
          <w:sz w:val="32"/>
          <w:szCs w:val="32"/>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hint="eastAsia" w:ascii="Times New Roman" w:hAnsi="Times New Roman" w:eastAsia="方正仿宋_GBK" w:cs="方正仿宋_GBK"/>
          <w:b w:val="0"/>
          <w:kern w:val="2"/>
          <w:sz w:val="32"/>
          <w:szCs w:val="32"/>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hint="eastAsia" w:ascii="Times New Roman" w:hAnsi="Times New Roman" w:eastAsia="方正仿宋_GBK" w:cs="方正仿宋_GBK"/>
          <w:b w:val="0"/>
          <w:kern w:val="2"/>
          <w:sz w:val="32"/>
          <w:szCs w:val="32"/>
          <w:lang w:val="en-US" w:eastAsia="zh-CN" w:bidi="ar-SA"/>
        </w:rPr>
      </w:pPr>
      <w:r>
        <w:rPr>
          <w:rFonts w:hint="eastAsia" w:ascii="Times New Roman" w:hAnsi="Times New Roman" w:eastAsia="方正仿宋_GBK" w:cs="方正仿宋_GBK"/>
          <w:b w:val="0"/>
          <w:kern w:val="2"/>
          <w:sz w:val="32"/>
          <w:szCs w:val="32"/>
          <w:lang w:val="en-US" w:eastAsia="zh-CN" w:bidi="ar-SA"/>
        </w:rPr>
        <w:t xml:space="preserve">重庆市医疗保障局            </w:t>
      </w:r>
    </w:p>
    <w:p>
      <w:pPr>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40" w:lineRule="exact"/>
        <w:ind w:right="0" w:rightChars="0" w:firstLine="5280" w:firstLineChars="1650"/>
        <w:jc w:val="both"/>
        <w:textAlignment w:val="auto"/>
        <w:rPr>
          <w:rFonts w:hint="eastAsia" w:ascii="Times New Roman" w:hAnsi="Times New Roman" w:eastAsia="方正仿宋_GBK" w:cs="方正仿宋_GBK"/>
          <w:b w:val="0"/>
          <w:kern w:val="2"/>
          <w:sz w:val="32"/>
          <w:szCs w:val="32"/>
          <w:lang w:val="en-US" w:eastAsia="zh-CN" w:bidi="ar-SA"/>
        </w:rPr>
      </w:pPr>
      <w:r>
        <w:rPr>
          <w:rFonts w:hint="eastAsia" w:ascii="Times New Roman" w:hAnsi="Times New Roman" w:eastAsia="方正仿宋_GBK" w:cs="方正仿宋_GBK"/>
          <w:b w:val="0"/>
          <w:kern w:val="2"/>
          <w:sz w:val="32"/>
          <w:szCs w:val="32"/>
          <w:lang w:val="en-US" w:eastAsia="zh-CN" w:bidi="ar-SA"/>
        </w:rPr>
        <w:t>2024年12月24日</w:t>
      </w:r>
    </w:p>
    <w:p>
      <w:pPr>
        <w:pageBreakBefore w:val="0"/>
        <w:widowControl w:val="0"/>
        <w:kinsoku/>
        <w:wordWrap/>
        <w:overflowPunct/>
        <w:topLinePunct w:val="0"/>
        <w:autoSpaceDE/>
        <w:autoSpaceDN/>
        <w:bidi w:val="0"/>
        <w:adjustRightInd/>
        <w:snapToGrid/>
        <w:ind w:firstLine="640" w:firstLineChars="200"/>
        <w:textAlignment w:val="auto"/>
        <w:rPr>
          <w:rFonts w:ascii="方正仿宋_GBK" w:hAnsi="Calibri" w:eastAsia="方正仿宋_GBK" w:cs="Times New Roman"/>
          <w:sz w:val="32"/>
          <w:szCs w:val="20"/>
        </w:rPr>
      </w:pPr>
      <w:r>
        <w:rPr>
          <w:rFonts w:hint="eastAsia" w:ascii="方正仿宋_GBK" w:hAnsi="Calibri" w:eastAsia="方正仿宋_GBK" w:cs="Times New Roman"/>
          <w:sz w:val="32"/>
          <w:szCs w:val="20"/>
        </w:rPr>
        <w:t>（</w:t>
      </w:r>
      <w:bookmarkStart w:id="0" w:name="公开发送"/>
      <w:r>
        <w:rPr>
          <w:rFonts w:hint="eastAsia" w:ascii="方正仿宋_GBK" w:hAnsi="Calibri" w:eastAsia="方正仿宋_GBK" w:cs="Times New Roman"/>
          <w:sz w:val="32"/>
          <w:szCs w:val="20"/>
          <w:lang w:val="en-US" w:eastAsia="zh-CN"/>
        </w:rPr>
        <w:t>此件</w:t>
      </w:r>
      <w:bookmarkEnd w:id="0"/>
      <w:r>
        <w:rPr>
          <w:rFonts w:hint="eastAsia" w:ascii="方正仿宋_GBK" w:hAnsi="Calibri" w:eastAsia="方正仿宋_GBK" w:cs="Times New Roman"/>
          <w:sz w:val="32"/>
          <w:szCs w:val="20"/>
          <w:lang w:eastAsia="zh-CN"/>
        </w:rPr>
        <w:t>公开发布</w:t>
      </w:r>
      <w:r>
        <w:rPr>
          <w:rFonts w:hint="eastAsia" w:ascii="方正仿宋_GBK" w:hAnsi="Calibri" w:eastAsia="方正仿宋_GBK" w:cs="Times New Roman"/>
          <w:sz w:val="32"/>
          <w:szCs w:val="20"/>
        </w:rPr>
        <w:t>）</w:t>
      </w:r>
    </w:p>
    <w:p>
      <w:pPr>
        <w:rPr>
          <w:rFonts w:hint="eastAsia"/>
          <w:lang w:val="en-US" w:eastAsia="zh-CN"/>
        </w:rPr>
        <w:sectPr>
          <w:footerReference r:id="rId3" w:type="default"/>
          <w:pgSz w:w="11906" w:h="16838"/>
          <w:pgMar w:top="1962" w:right="1474" w:bottom="1848" w:left="1587" w:header="851" w:footer="992" w:gutter="0"/>
          <w:pgNumType w:fmt="numberInDash"/>
          <w:cols w:space="0" w:num="1"/>
          <w:rtlGutter w:val="0"/>
          <w:docGrid w:type="lines" w:linePitch="327" w:charSpace="0"/>
        </w:sectPr>
      </w:pPr>
    </w:p>
    <w:p>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修订清创缝合等医疗服务项目价格表</w:t>
      </w:r>
    </w:p>
    <w:tbl>
      <w:tblPr>
        <w:tblStyle w:val="8"/>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9"/>
        <w:gridCol w:w="1605"/>
        <w:gridCol w:w="1650"/>
        <w:gridCol w:w="1410"/>
        <w:gridCol w:w="1800"/>
        <w:gridCol w:w="2581"/>
        <w:gridCol w:w="1694"/>
        <w:gridCol w:w="745"/>
        <w:gridCol w:w="3020"/>
        <w:gridCol w:w="1065"/>
        <w:gridCol w:w="1050"/>
        <w:gridCol w:w="1050"/>
        <w:gridCol w:w="1095"/>
        <w:gridCol w:w="1020"/>
        <w:gridCol w:w="68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blHeader/>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序号</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国家项目编码</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国家项目名称</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项目编码</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项目名称</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项目内涵</w:t>
            </w: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除外内容</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计价单位</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说明</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三级医院</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二级医院</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一级医院</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其他（含基层医疗机构）</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医保属性</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医保限定支付范围</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归集口径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001205000000000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清创缝合</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1205</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5.清创缝合</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包括术后创口二期缝合术</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多部位清创缝合收费总额不得超过800元。脉冲冲洗清创术加收298元/次。</w:t>
            </w:r>
          </w:p>
        </w:tc>
        <w:tc>
          <w:tcPr>
            <w:tcW w:w="24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5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35"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001205000000000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清创缝合</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1205.01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清创缝合（脉冲冲洗清创术加收）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strike/>
                <w:color w:val="000000"/>
                <w:sz w:val="18"/>
                <w:szCs w:val="18"/>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每例清创计价1次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298</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298</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298</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strike/>
                <w:color w:val="000000"/>
                <w:sz w:val="18"/>
                <w:szCs w:val="18"/>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5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35"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包括蒸气雾化、超声雾化、高频振动雾化、氧气雾化、经呼吸机管道雾化、空气压缩泵雾化、高压泵雾化吸入、网式雾化吸入</w:t>
            </w: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药物、一次性使用雾化器</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4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52"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235"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001207000010400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雾化吸入（蒸气雾化吸入）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120700001a</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蒸气雾化吸入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001207000010400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雾化吸入（蒸气雾化吸入）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120700001a.01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蒸气雾化吸入(儿童加收)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0.34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0.34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0.34</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001207000010100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雾化吸入（超声）</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120700001b</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超声雾化吸入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001207000010100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雾化吸入（超声）</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120700001b.01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超声雾化吸入(儿童加收)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0.9</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120700001c</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高频振动雾化吸入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120700001c.01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高频振动雾化吸入(儿童加收)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120700001c.02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高频振动雾化吸入(婴幼儿定量雾化吸入加收)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001207000010300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雾化吸入（氧化雾化）</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120700001d</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氧化雾化吸入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001207000010300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雾化吸入（氧化雾化）</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120700001d.01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氧化雾化吸入(儿童加收)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001207000010500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雾化吸入（机械通气经呼吸机管道雾化给药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120700002e</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经呼吸机管道雾化吸入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001207000010500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雾化吸入（机械通气经呼吸机管道雾化给药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120700001e.01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经呼吸机管道雾化吸入(儿童加收)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120700001f</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空气压缩泵雾化吸入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120700001f.01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空气压缩泵雾化吸入(儿童加收)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120700001f.02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空气压缩泵雾化吸入(婴幼儿定量雾化吸入加收)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120700001g</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高压泵雾化吸入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001207000010200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雾化吸入（高压泵）</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120700001g.01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高压泵雾化吸入(儿童加收)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120700001h</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网式雾化吸入</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001207000010000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雾化吸入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120700001h.01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网式雾化吸入(儿童加收)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002402000020000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专用X线机模拟定位</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240200002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专用X线机模拟定位</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每照射野</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模拟机拍片或图象传输60元/张；模拟机穿刺定位200元/次，靶区非线性定位穿刺术加收200元。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002402000020000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专用X线机模拟定位</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240200002.04</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专用X线机模拟定位（靶区非线性定位穿刺术加收）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502407000060000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A240700005</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光敏剂、一次性石英光纤</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非肿瘤皮肤疾病收取500元；使用支气管镜加收140元。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810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502407000060000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A240700005.03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肿瘤光动力学治疗(非肿瘤皮肤疾病收取)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502407000060000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A240700005.04</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肿瘤光动力学治疗(使用支气管镜加收)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002501040120000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精子畸形率测定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250104012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精子畸形率测定</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染色形态分析、精子核完整性检测分别收取220元。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002501040120000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精子畸形率测定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250104012.02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精子畸形率测定(精子核完整性检测收取)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502503010320000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幽门螺杆菌病原体蛋白芯片检测</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A250301021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幽门螺杆菌病原体蛋白芯片检测</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strike/>
                <w:color w:val="000000"/>
                <w:sz w:val="18"/>
                <w:szCs w:val="18"/>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幽门螺杆菌分型检测收取140元/次。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198</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171</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162</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502503010320000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幽门螺杆菌病原体蛋白芯片检测</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A250301021.01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幽门螺杆菌病原体蛋白芯片检测(幽门螺杆菌分型检测收取)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002503060130000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B型钠尿肽前体(PRO-BNP)测定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250306013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B型钠尿肽前体（PRO-BNP）测定</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指酶免疫法，包括N端-B型钠尿肽前体（NT-ProBNP）测定。</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化学发光法加收70元，双抗体夹心免疫荧光法加收70元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79.97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72.7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69.07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65.43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002503060130000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B型钠尿肽前体(PRO-BNP)测定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250306013.10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N端-B型钠尿肽前体(NT-ProBNP）测定</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79.97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72.7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69.07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65.43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002503090050000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血清药物浓度测定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250309005</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血清药物浓度测定</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指放免法或酶免法；包括（地高辛、氨茶碱、苯妥英钠、庆大霉素、丁胺卡那霉素、万古霉素、妥布霉素、乙基西梭霉素、丙戊酸、卡马西平、奥卡西平、拉莫三嗪、西罗莫司及其他药物。</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每种药物</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1.普乐可复(FK-506)和酶酚酸分别加收200元；2.色谱法或荧光探针法以及化学发光法分别加收30元(环孢霉素A测定加收200元)；3.荧光偏振免疫法加收40元(甲氨蝶呤测定加收300元)。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002504010320000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可溶性细胞间黏附分子-1(sICAM-1)测定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250401032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可溶性细胞间黏附分子-1（sICAM-1）测定</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样本类型：各种样本。样本采集、签收、处理，加免疫试剂，保温，温育，检测，质控，审核结果，录入实验室信息系统或人工登记，发送报告；按规定处理废弃物；接受临床相关咨询。</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项</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81</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002504030800000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幽门螺杆菌粪便抗原检查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250403080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幽门螺杆菌粪便抗原检查</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样本类型：粪便。样本采集、签收、预处理（样本置于稀释瓶中稀释）；条型试剂卡：挤压样本至试剂卡加样孔中，质控审核等待结果出现；结果判读，录入实验室信息系统或人工登记，发送报告；按规定处理废弃物；接受临床相关咨询。</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93.5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002504040220000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组织多肽特异抗原(TPS)测定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250404022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组织多肽特异抗原(TPS)测定</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样本类型：血液。样本采集、签收、处理，加免疫试剂，温育，检测，质控，审核结果，录入实验室信息系统或人工登记，发送报告；按规定处理废弃物；接受临床相关咨询。</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51.3</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48.6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002505010030000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浓缩集菌抗酸菌检测</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250501003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浓缩集菌抗酸菌检测</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自动离心涂片及自动抗酸染色镜检收取160元。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002505010030000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浓缩集菌抗酸菌检测</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250501003.01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浓缩集菌抗酸菌检测(自动离心涂片及自动抗酸染色镜检收取)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002704000020000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快速石蜡切片检查与诊断</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270400002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快速石蜡切片检查与诊断</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包括快速细胞病理诊断。</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例</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特异性感染标本加收20元；超声空化组织处理病理诊断加收210元/例（4-6小时出结果）</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176</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152</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144</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002704000020000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快速石蜡切片检查与诊断</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270400002.02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快速石蜡切片检查与诊断(超声空化组织处理病理诊断加收)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例</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4-6小时出结果</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210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002707000030000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脱氧核糖核酸（DNA）测序</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270700003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脱氧核糖核酸(DNA)测序</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样本类型：各种标本。样本处理、PCR扩增、产物纯化、测序反应、DNA测序仪分析、观察结果、诊断，录入实验室信息系统或人工登记，发送报告。含检测过程中所产生的废液、废物的处理。</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位点</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以一个位点为基价。每增加一个位点加收100元，加收最高不超过9400元。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002707000030000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脱氧核糖核酸（DNA）测序</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270700003.01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脱氧核糖核酸(DNA)测序（每增加一个位点加收）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位点</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502507001240000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组织/细胞核糖核酸(RNA)测序</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270700005</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组织/细胞核糖核酸(RNA)测序</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样本类型：各种标本。分离单个核细胞，提取核糖核酸(RNA)，溶解核糖核酸(RNA)后测定浓度，逆转录后进行特异性基因的扩增，RNA测序仪分析、检测结果，人工分析报告。审核结果，录入实验室信息系统或人工登记，发送报告；按规定处理废弃物；接受临床相关咨询。      </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位点</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限试行医院使用。每增加一个位点加收100元，计费最高不超过9800元。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化验费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003101000220000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多功能神经肌肉功能监测</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310100022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多功能神经肌肉功能监测</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包括表面肌电测定。</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003101000220100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多功能神经肌肉功能监测(表面肌电测定)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310100022.10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多功能神经肌肉功能监测(表面肌电测定)</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26</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003103000870000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睑板腺按摩</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310300087</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睑板腺按摩</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向患者说明治疗的注意事项。眼部表面麻醉，涂抗菌药物眼膏，置睑板托，按摩睑板腺，清洁局部。</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24.2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20.9</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19.8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003104020080000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鼻阻力测定</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310402008</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鼻阻力测定</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应用鼻阻力计，将鼻塞填堵在患者右侧鼻腔中，同时面罩罩住患者口鼻部，不留缝隙，嘱患者闭嘴均匀呼吸，同时电脑开始记录数据，计算后形成相应曲线，20秒后停止，将鼻塞换至左侧鼻腔相同方法进行，将电脑显示最终数据填写报告，人工报告。</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003104020090000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声反射鼻腔测量</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310402009</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声反射鼻腔测量</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应用鼻声反射仪器，开机启动程序，调试探头，测基线，探头放置患者左侧鼻孔前，将鼻孔完全封闭，嘱病人闭嘴憋气，探头开始测试，同时电脑出现相应曲线，当屏幕右上角出现红点时可以结束，反复2次，以确定曲线的正确性，探头换至右侧鼻孔前，同法测试，反复2次，患者双侧鼻腔给药(麻黄素)，等待5分钟后，同法测试双侧鼻腔，获得两条曲线，检查正确性后结束，将患者信息录入，人工分析，打印报告。</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29</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003105170070100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固定修复计算机辅助设计（全冠）</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310517016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口腔固定修复特殊制作</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种植桩核特殊制作技术、高精度口腔修复特殊制作技术。根据缺牙区及邻牙的位置和形态，对种植修复体进行设计，采取种植印模制取，制作CAD/CAM临时树脂冠或冠桥，试戴临时修复体，并进行个性化形态调整，清理抛光后临时粘接材料粘接固位；牙龈形态塑造至理想状态后，进行最终个性化修复：评估患者口内情况，运用数字化设备、导板进行分析，制取高精度印模或模型，使用数字化技术对修复体进行二次设计，修复体制作完成后，进行边缘密合度检查，或X光检查义齿缺陷，个性化微调牙齿形态色泽，随访复诊提高义齿使用功能性和舒适度。</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每单位</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003106030020000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无创辅助通气</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310603002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无创辅助通气</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含氧气；包括持续气道正压(CPAP)、双水平气道正压(BIPAP)。</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呼吸湿化治疗收取10元/小时（不区分有创、无创）。</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11.4</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003106030020000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无创辅助通气</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310603002.01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无创辅助通气（呼吸湿化治疗收取）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不区分有创与无创，有创与无创不得同时收取。</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003106040060000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经皮穿刺肺活检术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310604006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经皮穿刺肺活检术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包括胸膜活检；不含CT、X线、B超引导</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每处</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经皮肺小结节（1CM以下）穿刺活检收取900元/次。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142.5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003106040060000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经皮穿刺肺活检术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310604006.01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经皮穿刺肺活检术(经皮肺小结节（1CM以下）穿刺活检收取)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003106050080000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经纤支镜特殊治疗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310605008</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经纤支镜特殊治疗</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指微波法。</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激光、高频电法等加收100元；冷冻法收取200元；氩等离子凝固治疗加收233元。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308</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266</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252</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003106050080000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经纤支镜特殊治疗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310605008.04</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经纤支镜特殊治疗(氩等离子凝固治疗加收)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233</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233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003107010100000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心电图踏车负荷试验</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310701010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心电图踏车负荷试验</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含电极费用；包括二阶梯、平板运动试验。</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二阶梯运动试验收取20元；单次平板运动试验加收60元；两次平板运动试验加收100元；十二通道加收10元；智能式冠心病检测加收20元；运动负荷下高频QRS波检查收取427元/次。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003107010100000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心电图踏车负荷试验</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310701010.06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心电图踏车负荷试验(运动负荷下高频QRS波检查收取)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427</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003107020040000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射频消融术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310702004</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射频消融术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消毒铺巾，局部麻醉，穿刺深静脉，放置鞘管，放置消融导管，对异常组织进行消融，隔离异位电信号传导。不区分术中使用的能源类型。</w:t>
            </w: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消融导管</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1595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1450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1377.5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003108000050000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血细胞分离单采</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310800005c</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单采红细胞</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管路</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1320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1140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1080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003109040010000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直肠镜检查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310904001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直肠镜检查</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含活检；包括直肠取活检术、直肠粘膜负压吸引活检术</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直肠粘膜负压吸引活检术收取130元/次。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49.5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003109040010000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直肠镜检查</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310904001.20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直肠镜检查(直肠粘膜负压吸引活检术)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37</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003110000020000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腹透机自动腹膜透析</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311000002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腹透机自动腹膜透析</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使用自动化腹透机完成腹膜透析。含腹透机上机和下机操作、透析方案设定、自动腹透液加温，定量、定时注入透析液，按时引流透析液，引流液的自动测量及超滤量的计算；引流缓慢、负超滤等自动报警。治疗中监测患者症状和体征、观察病情变化和透析情况，动态调整透析方案并记录。不含自动化腹膜透析操作培训。</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strike/>
                <w:color w:val="000000"/>
                <w:sz w:val="18"/>
                <w:szCs w:val="18"/>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003110000230000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经输尿管镜肿瘤切除术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311000023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经输尿管镜肿瘤切除术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指液电法。</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普通激光法加收100元；钬激光法加收700元；使用输尿管软镜加收700元/次。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630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003110000230000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经输尿管镜肿瘤切除术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311000023.03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经输尿管镜肿瘤切除术(使用输尿管软镜加收)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39</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003110000260000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经输尿管镜碎石取石术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311000026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经输尿管镜碎石取石术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超声或弹道碎石加收150元；钬激光法加收700元；使用输尿管软镜加收700元/次。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630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003110000260000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经输尿管镜碎石取石术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311000026.04</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经输尿管镜碎石取石术(使用输尿管软镜加收)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皮肤活检术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皮肤活检术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含钻孔法；包括切口法。</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每个取材部位</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切口法收取304元/取材部位。</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皮肤活检术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311400003.01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皮肤活检术（切口法收取）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每个取材部位</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304</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003114000050000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皮肤生理指标系统分析</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311400005</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皮肤生理指标系统分析</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含色素、皮脂、水份、PH测定及局部色彩图象；包括糖基化终产物无创检测。</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003114000050000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皮肤生理指标系统分析</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311400005.10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糖基化终产物无创检测</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限试行医院使用</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003114000160000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红光治疗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311400016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红光治疗</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每个部位</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黄光治疗参照执行。</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14.25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003114000160000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红光治疗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311400016.10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黄光治疗</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每个部位</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14.25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003114000280000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皮损内注射</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311400028</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皮损内注射</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每个皮损</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瘢痕内注射治疗收取80元/每个部位。</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14.25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003114000280000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皮损内注射</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311400028.01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皮损内注射（瘢痕内注射治疗收取）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每个部位</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003114000560000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烧伤换药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311400056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烧伤换药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医用伤口护理膜、长效抗菌材料、纳米银医用抗菌敷料、含银抗菌敷料。</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1%体表面积</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增加1%体表面积加收10元；皮肤科大疱性疾病(重症药疹、天疱疹、银屑病)参照此标准执行。</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003114000560000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烧伤换药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311400056.10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皮肤科大疱性疾病(重症药疹、天疱疹、银屑病)换药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1%体表面积</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38</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503115030390000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经颅磁刺激治疗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311503031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经颅磁刺激治疗</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应用高强度脉冲磁场作用于头部特定解剖部位投影表面，磁场在大脑皮质内产生的感应电流能调节神经细胞动作电位，导致靶向效应器出现特异性可观察的生理反应。专业人员遵照医嘱根据病情及治疗目的进行定位并放置治疗线圈，选择适宜治疗参数包括频率、强度、串时程、串间歇、总脉冲数等进行治疗，观察靶向效应器反应。治疗后观察治疗反应，记录治疗单。</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30分钟</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88</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76</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72</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003206000010000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经股动脉插管全脑动脉造影术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320600001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经股动脉插管全脑动脉造影术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含颈动脉、椎动脉；包括经颈动脉插管、经桡动脉插管。</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1444.3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1313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1247.35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1181.7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003206000010000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经股动脉插管全脑动脉造影术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320600001.20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经桡动脉插管全脑动脉造影术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1444.3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1313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1247.35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1181.7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检查费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47</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003308020180000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右室双出口矫治术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330802018</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右室双出口矫治术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含内隧道或内通道或左室流出道成形及右室流出道成形术。</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4900.5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4455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4232.25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4009.5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48</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003315200010000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腕关节韧带修补术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331520001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腕关节韧带修补术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包括腕关节不稳定修复、不稳定重建术、肘关节韧带修复术。</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1169.3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1063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1009.85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956.7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003315200010000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腕关节韧带修补术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331520001.30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腕关节韧带修补术(肘关节韧带修复术)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1169.3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1063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1009.85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956.7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49</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003316020130000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皮肤恶性肿瘤切除术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331602013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皮肤恶性肿瘤切除术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植皮加收200元；多点描记皮肤恶性肿瘤扩大切除术收取2000元。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1100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1000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950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003316020130000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皮肤恶性肿瘤切除术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331602013.02</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皮肤恶性肿瘤切除术(多点描记皮肤恶性肿瘤扩大切除术收取)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2000</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003316030470000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烧伤瘢痕切除缝合术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331603047</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烧伤瘢痕切除缝合术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1cm</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增加1cm加收100元，加价总额不得超过500元；其他瘢痕切除缝合术参照执行。</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619.3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563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534.85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506.7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003316030470000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烧伤瘢痕切除缝合术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331603047.10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其他瘢痕切除缝合术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1cm</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619.3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563</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534.85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506.7</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51</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003316030480000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烧伤瘢痕切除松解植皮术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331603048</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烧伤瘢痕切除松解植皮术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其他瘢痕切除松解植皮术参照执行。</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1633.5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1485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1410.75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1336.5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003316030480000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烧伤瘢痕切除松解植皮术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331603048.10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其他瘢痕切除松解植皮术</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1633.5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1485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1410.75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1336.5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手术费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52</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503401000280000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冲击波治疗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A340100029</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冲击波治疗</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指疼痛、康复治疗。</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勃起功能障碍治疗收取595元。</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99</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90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85.5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81</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503401000280000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冲击波治疗</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A340100029.01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冲击波治疗（勃起功能障碍治疗收取）</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595</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595</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12" w:type="pct"/>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53</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004300000260000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蜂蛰疗法</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430000026</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活体生物针法</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由医师根据病情选穴，通过各类活体生物，配合手法，作用于人体，促进疏通经络，调理脏腑，扶正祛邪。</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次•日</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儿童加收20%。“次•日”，指完成一次完整的针刺过程，不以进针数量计费，每日收费一次。</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77</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70</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66.5</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63</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12" w:type="pct"/>
            <w:vMerge w:val="continue"/>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宋体" w:cs="宋体"/>
                <w:i w:val="0"/>
                <w:iCs w:val="0"/>
                <w:color w:val="000000"/>
                <w:sz w:val="18"/>
                <w:szCs w:val="18"/>
                <w:u w:val="none"/>
              </w:rPr>
            </w:pP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004600000200000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蜂蛰疗法</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430000026.01</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活体生物针法(儿童加收)</w:t>
            </w:r>
          </w:p>
        </w:tc>
        <w:tc>
          <w:tcPr>
            <w:tcW w:w="596"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次•日</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15.4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14</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13.3</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12.6</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54</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004800000030000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混合痔铜离子电化学治疗术</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460000020</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混合痔铜离子电化学治疗术</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各期内痔及混合痔内痔部分铜离子电化学治疗术。肛周消毒铺巾，肛周局部麻醉后，用喇叭形肛门镜经肛门找到痔，碘伏消毒痔核，铜离子针刺入痔中央的黏膜下，待铜离子电化学治疗仪通电操作完成后，肛管内放置痔消炎栓及油纱条，外敷塔纱，胶布固定。</w:t>
            </w:r>
          </w:p>
        </w:tc>
        <w:tc>
          <w:tcPr>
            <w:tcW w:w="39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铜离子针</w:t>
            </w: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 xml:space="preserve"> 次</w:t>
            </w:r>
          </w:p>
        </w:tc>
        <w:tc>
          <w:tcPr>
            <w:tcW w:w="697"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imes New Roman" w:hAnsi="Times New Roman" w:eastAsia="宋体" w:cs="宋体"/>
                <w:i w:val="0"/>
                <w:iCs w:val="0"/>
                <w:color w:val="000000"/>
                <w:sz w:val="18"/>
                <w:szCs w:val="18"/>
                <w:u w:val="none"/>
              </w:rPr>
            </w:pP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79.2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72</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68.4</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64.8</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55</w:t>
            </w:r>
          </w:p>
        </w:tc>
        <w:tc>
          <w:tcPr>
            <w:tcW w:w="370"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default" w:ascii="Times New Roman" w:hAnsi="Times New Roman" w:eastAsia="宋体" w:cs="宋体"/>
                <w:i w:val="0"/>
                <w:iCs w:val="0"/>
                <w:color w:val="000000"/>
                <w:kern w:val="0"/>
                <w:sz w:val="18"/>
                <w:szCs w:val="18"/>
                <w:u w:val="none"/>
                <w:lang w:val="en-US" w:eastAsia="zh-CN" w:bidi="ar"/>
              </w:rPr>
              <w:t>00</w:t>
            </w:r>
            <w:r>
              <w:rPr>
                <w:rFonts w:hint="eastAsia" w:ascii="Times New Roman" w:hAnsi="Times New Roman" w:eastAsia="宋体" w:cs="宋体"/>
                <w:i w:val="0"/>
                <w:iCs w:val="0"/>
                <w:color w:val="000000"/>
                <w:kern w:val="0"/>
                <w:sz w:val="18"/>
                <w:szCs w:val="18"/>
                <w:u w:val="none"/>
                <w:lang w:val="en-US" w:eastAsia="zh-CN" w:bidi="ar"/>
              </w:rPr>
              <w:t>4300000260000</w:t>
            </w:r>
          </w:p>
        </w:tc>
        <w:tc>
          <w:tcPr>
            <w:tcW w:w="38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中药特殊调配</w:t>
            </w:r>
          </w:p>
        </w:tc>
        <w:tc>
          <w:tcPr>
            <w:tcW w:w="32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480000003</w:t>
            </w:r>
          </w:p>
        </w:tc>
        <w:tc>
          <w:tcPr>
            <w:tcW w:w="41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中药特殊调配</w:t>
            </w:r>
          </w:p>
        </w:tc>
        <w:tc>
          <w:tcPr>
            <w:tcW w:w="59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根据中医辨证施治理论，按病情需要对患者一定时期内服用的个体化药味或处方进行特殊炮制或制剂加工而进行的技术服务。主要包括中药临方炮制及中药临方配制两方面。其中，中药临方炮制包括炒法、炙法、复杂性炮制；中药临方配制包括膏剂、散剂、合剂、丸剂、颗粒剂、胶囊剂、片剂、酒剂等制剂加工。</w:t>
            </w:r>
          </w:p>
        </w:tc>
        <w:tc>
          <w:tcPr>
            <w:tcW w:w="391" w:type="pct"/>
            <w:shd w:val="clear" w:color="auto" w:fill="FFFFFF"/>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宋体" w:cs="宋体"/>
                <w:i w:val="0"/>
                <w:iCs w:val="0"/>
                <w:color w:val="000000"/>
                <w:sz w:val="18"/>
                <w:szCs w:val="18"/>
                <w:u w:val="none"/>
              </w:rPr>
            </w:pPr>
          </w:p>
        </w:tc>
        <w:tc>
          <w:tcPr>
            <w:tcW w:w="17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每千克</w:t>
            </w:r>
          </w:p>
        </w:tc>
        <w:tc>
          <w:tcPr>
            <w:tcW w:w="697"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以处方药物/药材重量（加工前）计费。</w:t>
            </w:r>
          </w:p>
        </w:tc>
        <w:tc>
          <w:tcPr>
            <w:tcW w:w="246"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4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52"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市场调节价</w:t>
            </w:r>
          </w:p>
        </w:tc>
        <w:tc>
          <w:tcPr>
            <w:tcW w:w="235"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158"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治疗费</w:t>
            </w:r>
          </w:p>
        </w:tc>
      </w:tr>
    </w:tbl>
    <w:p>
      <w:pPr>
        <w:keepNext w:val="0"/>
        <w:keepLines w:val="0"/>
        <w:pageBreakBefore w:val="0"/>
        <w:kinsoku/>
        <w:wordWrap/>
        <w:overflowPunct/>
        <w:topLinePunct w:val="0"/>
        <w:autoSpaceDE/>
        <w:autoSpaceDN/>
        <w:bidi w:val="0"/>
        <w:adjustRightInd/>
        <w:snapToGrid/>
        <w:spacing w:line="0" w:lineRule="atLeast"/>
        <w:rPr>
          <w:rFonts w:hint="eastAsia" w:ascii="方正小标宋_GBK" w:hAnsi="方正小标宋_GBK" w:eastAsia="方正小标宋_GBK" w:cs="方正小标宋_GBK"/>
          <w:sz w:val="44"/>
          <w:szCs w:val="44"/>
        </w:rPr>
        <w:sectPr>
          <w:pgSz w:w="23811" w:h="16838" w:orient="landscape"/>
          <w:pgMar w:top="2098" w:right="1474" w:bottom="1984" w:left="1587" w:header="851" w:footer="1134" w:gutter="0"/>
          <w:pgBorders>
            <w:top w:val="none" w:sz="0" w:space="0"/>
            <w:left w:val="none" w:sz="0" w:space="0"/>
            <w:bottom w:val="none" w:sz="0" w:space="0"/>
            <w:right w:val="none" w:sz="0" w:space="0"/>
          </w:pgBorders>
          <w:pgNumType w:fmt="numberInDash"/>
          <w:cols w:space="0" w:num="1"/>
          <w:rtlGutter w:val="0"/>
          <w:docGrid w:linePitch="615"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sz w:val="21"/>
          <w:szCs w:val="22"/>
          <w:lang w:val="en-US"/>
        </w:rPr>
      </w:pPr>
      <w:r>
        <w:rPr>
          <w:rFonts w:hint="eastAsia" w:ascii="Times New Roman" w:hAnsi="Times New Roman" w:eastAsia="方正黑体_GBK" w:cs="方正黑体_GBK"/>
          <w:sz w:val="32"/>
          <w:szCs w:val="32"/>
        </w:rPr>
        <w:t>附件</w:t>
      </w:r>
      <w:r>
        <w:rPr>
          <w:rFonts w:hint="eastAsia" w:ascii="Times New Roman" w:hAnsi="Times New Roman" w:eastAsia="方正黑体_GBK" w:cs="方正黑体_GBK"/>
          <w:sz w:val="32"/>
          <w:szCs w:val="32"/>
          <w:lang w:val="en-US"/>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停用部分医疗服务价格项目表</w:t>
      </w:r>
    </w:p>
    <w:tbl>
      <w:tblPr>
        <w:tblStyle w:val="8"/>
        <w:tblW w:w="5267" w:type="pct"/>
        <w:jc w:val="center"/>
        <w:tblLayout w:type="fixed"/>
        <w:tblCellMar>
          <w:top w:w="0" w:type="dxa"/>
          <w:left w:w="108" w:type="dxa"/>
          <w:bottom w:w="0" w:type="dxa"/>
          <w:right w:w="108" w:type="dxa"/>
        </w:tblCellMar>
      </w:tblPr>
      <w:tblGrid>
        <w:gridCol w:w="503"/>
        <w:gridCol w:w="1333"/>
        <w:gridCol w:w="1756"/>
        <w:gridCol w:w="3285"/>
        <w:gridCol w:w="687"/>
        <w:gridCol w:w="589"/>
        <w:gridCol w:w="1228"/>
        <w:gridCol w:w="1884"/>
        <w:gridCol w:w="2685"/>
      </w:tblGrid>
      <w:tr>
        <w:tblPrEx>
          <w:tblCellMar>
            <w:top w:w="0" w:type="dxa"/>
            <w:left w:w="108" w:type="dxa"/>
            <w:bottom w:w="0" w:type="dxa"/>
            <w:right w:w="108" w:type="dxa"/>
          </w:tblCellMar>
        </w:tblPrEx>
        <w:trPr>
          <w:trHeight w:val="580" w:hRule="atLeast"/>
          <w:tblHeader/>
          <w:jc w:val="center"/>
        </w:trPr>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序号</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项目编码</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项目名称</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项目内涵</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除外内容</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计价单位</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政府指导价</w:t>
            </w: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说明</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方正黑体_GBK" w:cs="方正黑体_GBK"/>
                <w:b w:val="0"/>
                <w:bCs w:val="0"/>
                <w:color w:val="000000"/>
                <w:sz w:val="21"/>
                <w:szCs w:val="21"/>
              </w:rPr>
            </w:pPr>
            <w:r>
              <w:rPr>
                <w:rFonts w:hint="eastAsia" w:ascii="Times New Roman" w:hAnsi="Times New Roman" w:eastAsia="方正黑体_GBK" w:cs="方正黑体_GBK"/>
                <w:b w:val="0"/>
                <w:bCs w:val="0"/>
                <w:color w:val="000000"/>
                <w:kern w:val="0"/>
                <w:sz w:val="21"/>
                <w:szCs w:val="21"/>
                <w:lang w:bidi="ar"/>
              </w:rPr>
              <w:t>现行医保结算编码</w:t>
            </w:r>
          </w:p>
        </w:tc>
      </w:tr>
      <w:tr>
        <w:tblPrEx>
          <w:tblCellMar>
            <w:top w:w="0" w:type="dxa"/>
            <w:left w:w="108" w:type="dxa"/>
            <w:bottom w:w="0" w:type="dxa"/>
            <w:right w:w="108" w:type="dxa"/>
          </w:tblCellMar>
        </w:tblPrEx>
        <w:trPr>
          <w:trHeight w:val="840" w:hRule="atLeast"/>
          <w:jc w:val="center"/>
        </w:trPr>
        <w:tc>
          <w:tcPr>
            <w:tcW w:w="1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ABE</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5.清创缝合</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6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both"/>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1.多部位清创缝合收费总额不得超过800元；2.术后创口二期缝合术按此标准执行。</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r>
      <w:tr>
        <w:tblPrEx>
          <w:tblCellMar>
            <w:top w:w="0" w:type="dxa"/>
            <w:left w:w="108" w:type="dxa"/>
            <w:bottom w:w="0" w:type="dxa"/>
            <w:right w:w="108" w:type="dxa"/>
          </w:tblCellMar>
        </w:tblPrEx>
        <w:trPr>
          <w:trHeight w:val="560" w:hRule="atLeast"/>
          <w:jc w:val="center"/>
        </w:trPr>
        <w:tc>
          <w:tcPr>
            <w:tcW w:w="18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10.雾化吸入</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药物</w:t>
            </w: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r>
      <w:tr>
        <w:tblPrEx>
          <w:tblCellMar>
            <w:top w:w="0" w:type="dxa"/>
            <w:left w:w="108" w:type="dxa"/>
            <w:bottom w:w="0" w:type="dxa"/>
            <w:right w:w="108" w:type="dxa"/>
          </w:tblCellMar>
        </w:tblPrEx>
        <w:trPr>
          <w:trHeight w:val="136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ABKA0001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超声雾化吸入</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评估患者病情及呼吸系统状况等，核对医嘱及患者信息，解释其目的取得配合，用无菌注射器配制药物，取适当体位，打开超声雾化器开关，定时，调节雾量，用无菌口含嘴(或面罩)遮住患者口鼻，嘱其用口深吸气，吸入15-20分钟，关闭开关，漱口，擦干患者面部，协助患者排痰并恢复舒适体位，处理用物，评价并记录，做好健康教育及心理护理。</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001207000010100-ABKA0001</w:t>
            </w:r>
          </w:p>
        </w:tc>
      </w:tr>
      <w:tr>
        <w:tblPrEx>
          <w:tblCellMar>
            <w:top w:w="0" w:type="dxa"/>
            <w:left w:w="108" w:type="dxa"/>
            <w:bottom w:w="0" w:type="dxa"/>
            <w:right w:w="108" w:type="dxa"/>
          </w:tblCellMar>
        </w:tblPrEx>
        <w:trPr>
          <w:trHeight w:val="600" w:hRule="atLeast"/>
          <w:jc w:val="center"/>
        </w:trPr>
        <w:tc>
          <w:tcPr>
            <w:tcW w:w="18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ABKA0001.01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超声雾化吸入(儿童加收)</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0.9</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001207000010100-ABKA0001.01</w:t>
            </w:r>
          </w:p>
        </w:tc>
      </w:tr>
      <w:tr>
        <w:tblPrEx>
          <w:tblCellMar>
            <w:top w:w="0" w:type="dxa"/>
            <w:left w:w="108" w:type="dxa"/>
            <w:bottom w:w="0" w:type="dxa"/>
            <w:right w:w="108" w:type="dxa"/>
          </w:tblCellMar>
        </w:tblPrEx>
        <w:trPr>
          <w:trHeight w:val="138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ABKB0001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氧气雾化吸入</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评估患者病情及呼吸系统状况等，核对医嘱及患者信息，解释其目的取得配合，用无菌注射器配制药物，连接氧气管，取适当体位，将药物加入储药瓶，调节氧流量6-8升/分钟使药液呈雾状喷出，用无菌口含嘴(或雾化面罩)遮住患者口鼻，嘱其用口深吸气，吸入15-20分钟，关氧气，协助排痰，协助患者恢复舒适体位，处理用物，评价并记录，做好健康教育及心理护理。</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14.7</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001207000010300-ABKB0001</w:t>
            </w:r>
          </w:p>
        </w:tc>
      </w:tr>
      <w:tr>
        <w:tblPrEx>
          <w:tblCellMar>
            <w:top w:w="0" w:type="dxa"/>
            <w:left w:w="108" w:type="dxa"/>
            <w:bottom w:w="0" w:type="dxa"/>
            <w:right w:w="108" w:type="dxa"/>
          </w:tblCellMar>
        </w:tblPrEx>
        <w:trPr>
          <w:trHeight w:val="600" w:hRule="atLeast"/>
          <w:jc w:val="center"/>
        </w:trPr>
        <w:tc>
          <w:tcPr>
            <w:tcW w:w="18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ABKB0001.01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氧气雾化吸入(儿童加收)</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1.47</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001207000010300-ABKB0001.01</w:t>
            </w:r>
          </w:p>
        </w:tc>
      </w:tr>
      <w:tr>
        <w:tblPrEx>
          <w:tblCellMar>
            <w:top w:w="0" w:type="dxa"/>
            <w:left w:w="108" w:type="dxa"/>
            <w:bottom w:w="0" w:type="dxa"/>
            <w:right w:w="108" w:type="dxa"/>
          </w:tblCellMar>
        </w:tblPrEx>
        <w:trPr>
          <w:trHeight w:val="132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ABKC0001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空气压缩泵雾化吸入</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评估患者病情及呼吸系统状况等，核对医嘱及患者信息，解释其目的取得配合，用无菌注射器配制药物，取适当体位，打开空气压缩泵雾化器开关，用无菌口含嘴(或雾化面罩)遮住患者口鼻，嘱其用口深吸气，吸入15-20分钟，关闭开关，漱口，擦干患者面部，协助患者排痰，并恢复舒适体位，处理用物，评价并记录，做好健康教育及心理护理。</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17</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婴幼儿定量雾化吸入加收5元/次</w:t>
            </w: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001207000010200-ABKC0001</w:t>
            </w:r>
          </w:p>
        </w:tc>
      </w:tr>
      <w:tr>
        <w:tblPrEx>
          <w:tblCellMar>
            <w:top w:w="0" w:type="dxa"/>
            <w:left w:w="108" w:type="dxa"/>
            <w:bottom w:w="0" w:type="dxa"/>
            <w:right w:w="108" w:type="dxa"/>
          </w:tblCellMar>
        </w:tblPrEx>
        <w:trPr>
          <w:trHeight w:val="600" w:hRule="atLeast"/>
          <w:jc w:val="center"/>
        </w:trPr>
        <w:tc>
          <w:tcPr>
            <w:tcW w:w="18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ABKC0001.01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空气压缩泵雾化吸入(儿童加收)</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1.7</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001207000010200-ABKC0001.01</w:t>
            </w:r>
          </w:p>
        </w:tc>
      </w:tr>
      <w:tr>
        <w:tblPrEx>
          <w:tblCellMar>
            <w:top w:w="0" w:type="dxa"/>
            <w:left w:w="108" w:type="dxa"/>
            <w:bottom w:w="0" w:type="dxa"/>
            <w:right w:w="108" w:type="dxa"/>
          </w:tblCellMar>
        </w:tblPrEx>
        <w:trPr>
          <w:trHeight w:val="1028"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ABKC0001.02</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空气压缩泵雾化吸入(婴幼儿定量雾化吸入加收)</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001207000010200-ABKC0001.02</w:t>
            </w:r>
          </w:p>
        </w:tc>
      </w:tr>
      <w:tr>
        <w:tblPrEx>
          <w:tblCellMar>
            <w:top w:w="0" w:type="dxa"/>
            <w:left w:w="108" w:type="dxa"/>
            <w:bottom w:w="0" w:type="dxa"/>
            <w:right w:w="108" w:type="dxa"/>
          </w:tblCellMar>
        </w:tblPrEx>
        <w:trPr>
          <w:trHeight w:val="3534" w:hRule="atLeast"/>
          <w:jc w:val="center"/>
        </w:trPr>
        <w:tc>
          <w:tcPr>
            <w:tcW w:w="18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ABKD0001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蒸汽雾化吸入</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评估患者病情及呼吸系统状况等，核对医嘱及患者信息，解释其目的取得配合，用无菌注射器配制药物，准备蒸汽装置，取适当体位，接电源，加入药液，随蒸汽雾化吸入15分钟，观察患者生命体征及气道情况，协助排痰，协助患者采取舒适体位，处理用物，评价并记录，做好健康教育及心理护理。</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3.4</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001207000010400-ABKD0001</w:t>
            </w:r>
          </w:p>
        </w:tc>
      </w:tr>
      <w:tr>
        <w:tblPrEx>
          <w:tblCellMar>
            <w:top w:w="0" w:type="dxa"/>
            <w:left w:w="108" w:type="dxa"/>
            <w:bottom w:w="0" w:type="dxa"/>
            <w:right w:w="108" w:type="dxa"/>
          </w:tblCellMar>
        </w:tblPrEx>
        <w:trPr>
          <w:trHeight w:val="620" w:hRule="atLeast"/>
          <w:jc w:val="center"/>
        </w:trPr>
        <w:tc>
          <w:tcPr>
            <w:tcW w:w="18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11</w:t>
            </w:r>
          </w:p>
        </w:tc>
        <w:tc>
          <w:tcPr>
            <w:tcW w:w="47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ABKD0001.01</w:t>
            </w:r>
          </w:p>
        </w:tc>
        <w:tc>
          <w:tcPr>
            <w:tcW w:w="629"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蒸汽雾化吸入(儿童加收)</w:t>
            </w:r>
          </w:p>
        </w:tc>
        <w:tc>
          <w:tcPr>
            <w:tcW w:w="117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0.34</w:t>
            </w:r>
          </w:p>
        </w:tc>
        <w:tc>
          <w:tcPr>
            <w:tcW w:w="675"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001207000010400-ABKD0001.01</w:t>
            </w:r>
          </w:p>
        </w:tc>
      </w:tr>
      <w:tr>
        <w:tblPrEx>
          <w:tblCellMar>
            <w:top w:w="0" w:type="dxa"/>
            <w:left w:w="108" w:type="dxa"/>
            <w:bottom w:w="0" w:type="dxa"/>
            <w:right w:w="108" w:type="dxa"/>
          </w:tblCellMar>
        </w:tblPrEx>
        <w:trPr>
          <w:trHeight w:val="675" w:hRule="atLeast"/>
          <w:jc w:val="center"/>
        </w:trPr>
        <w:tc>
          <w:tcPr>
            <w:tcW w:w="1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宋体"/>
                <w:color w:val="000000"/>
                <w:kern w:val="0"/>
                <w:sz w:val="18"/>
                <w:szCs w:val="18"/>
                <w:lang w:val="en-US" w:eastAsia="zh-CN" w:bidi="ar"/>
              </w:rPr>
            </w:pPr>
            <w:r>
              <w:rPr>
                <w:rFonts w:hint="eastAsia" w:ascii="Times New Roman" w:hAnsi="Times New Roman" w:eastAsia="宋体" w:cs="宋体"/>
                <w:i w:val="0"/>
                <w:iCs w:val="0"/>
                <w:color w:val="000000"/>
                <w:kern w:val="0"/>
                <w:sz w:val="18"/>
                <w:szCs w:val="18"/>
                <w:u w:val="none"/>
                <w:lang w:val="en-US" w:eastAsia="zh-CN" w:bidi="ar"/>
              </w:rPr>
              <w:t>12</w:t>
            </w:r>
          </w:p>
        </w:tc>
        <w:tc>
          <w:tcPr>
            <w:tcW w:w="477" w:type="pct"/>
            <w:tcBorders>
              <w:top w:val="single" w:color="auto" w:sz="4" w:space="0"/>
              <w:left w:val="single" w:color="auto"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ABKE0001</w:t>
            </w:r>
          </w:p>
        </w:tc>
        <w:tc>
          <w:tcPr>
            <w:tcW w:w="629"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经呼吸机管道雾化吸入</w:t>
            </w:r>
          </w:p>
        </w:tc>
        <w:tc>
          <w:tcPr>
            <w:tcW w:w="1177"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both"/>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评估患者病情及呼吸系统状况等，核对医嘱及患者信息，解释其目的取得配合，用无菌注射器配制药物，加入呼吸机雾化瓶，取适当体位，清理呼吸道，打开雾化器开关，根据病情决定雾化时间，观察患者生命体征及气道情况，及时吸痰，协助患者采取舒适体位，处理用物，评价并记录，做好健康教育和心理护理。</w:t>
            </w:r>
          </w:p>
        </w:tc>
        <w:tc>
          <w:tcPr>
            <w:tcW w:w="246"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color w:val="000000"/>
                <w:kern w:val="0"/>
                <w:sz w:val="18"/>
                <w:szCs w:val="18"/>
                <w:lang w:bidi="ar"/>
              </w:rPr>
            </w:pPr>
          </w:p>
        </w:tc>
        <w:tc>
          <w:tcPr>
            <w:tcW w:w="210"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方正仿宋_GB2312" w:cs="方正仿宋_GB2312"/>
                <w:i w:val="0"/>
                <w:iCs w:val="0"/>
                <w:color w:val="000000"/>
                <w:kern w:val="0"/>
                <w:sz w:val="18"/>
                <w:szCs w:val="18"/>
                <w:u w:val="none"/>
                <w:lang w:val="en-US" w:eastAsia="zh-CN" w:bidi="ar"/>
              </w:rPr>
              <w:t>17</w:t>
            </w:r>
          </w:p>
        </w:tc>
        <w:tc>
          <w:tcPr>
            <w:tcW w:w="675"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i w:val="0"/>
                <w:iCs w:val="0"/>
                <w:color w:val="000000"/>
                <w:kern w:val="0"/>
                <w:sz w:val="18"/>
                <w:szCs w:val="18"/>
                <w:u w:val="none"/>
                <w:lang w:val="en-US" w:eastAsia="zh-CN" w:bidi="ar"/>
              </w:rPr>
              <w:t>001207000010500-ABKE0001</w:t>
            </w:r>
          </w:p>
        </w:tc>
      </w:tr>
      <w:tr>
        <w:tblPrEx>
          <w:tblCellMar>
            <w:top w:w="0" w:type="dxa"/>
            <w:left w:w="108" w:type="dxa"/>
            <w:bottom w:w="0" w:type="dxa"/>
            <w:right w:w="108" w:type="dxa"/>
          </w:tblCellMar>
        </w:tblPrEx>
        <w:trPr>
          <w:trHeight w:val="675" w:hRule="atLeast"/>
          <w:jc w:val="center"/>
        </w:trPr>
        <w:tc>
          <w:tcPr>
            <w:tcW w:w="1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kern w:val="0"/>
                <w:sz w:val="18"/>
                <w:szCs w:val="18"/>
                <w:lang w:bidi="ar"/>
              </w:rPr>
            </w:pPr>
          </w:p>
        </w:tc>
        <w:tc>
          <w:tcPr>
            <w:tcW w:w="477"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方正仿宋_GB2312" w:cs="方正仿宋_GB2312"/>
                <w:i w:val="0"/>
                <w:iCs w:val="0"/>
                <w:color w:val="000000"/>
                <w:kern w:val="0"/>
                <w:sz w:val="18"/>
                <w:szCs w:val="18"/>
                <w:u w:val="none"/>
                <w:lang w:val="en-US" w:eastAsia="zh-CN" w:bidi="ar"/>
              </w:rPr>
              <w:t>ABKE0001.01</w:t>
            </w:r>
          </w:p>
        </w:tc>
        <w:tc>
          <w:tcPr>
            <w:tcW w:w="629"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经呼吸机管道雾化吸入(儿童加收)</w:t>
            </w:r>
          </w:p>
        </w:tc>
        <w:tc>
          <w:tcPr>
            <w:tcW w:w="1177"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color w:val="000000"/>
                <w:kern w:val="0"/>
                <w:sz w:val="18"/>
                <w:szCs w:val="18"/>
                <w:lang w:bidi="ar"/>
              </w:rPr>
            </w:pPr>
          </w:p>
        </w:tc>
        <w:tc>
          <w:tcPr>
            <w:tcW w:w="210"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方正仿宋_GB2312" w:cs="方正仿宋_GB2312"/>
                <w:i w:val="0"/>
                <w:iCs w:val="0"/>
                <w:color w:val="000000"/>
                <w:kern w:val="0"/>
                <w:sz w:val="18"/>
                <w:szCs w:val="18"/>
                <w:u w:val="none"/>
                <w:lang w:val="en-US" w:eastAsia="zh-CN" w:bidi="ar"/>
              </w:rPr>
              <w:t>1.7</w:t>
            </w:r>
          </w:p>
        </w:tc>
        <w:tc>
          <w:tcPr>
            <w:tcW w:w="675"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i w:val="0"/>
                <w:iCs w:val="0"/>
                <w:color w:val="000000"/>
                <w:kern w:val="0"/>
                <w:sz w:val="18"/>
                <w:szCs w:val="18"/>
                <w:u w:val="none"/>
                <w:lang w:val="en-US" w:eastAsia="zh-CN" w:bidi="ar"/>
              </w:rPr>
              <w:t>001207000010500-ABKE0001.01</w:t>
            </w:r>
          </w:p>
        </w:tc>
      </w:tr>
      <w:tr>
        <w:tblPrEx>
          <w:tblCellMar>
            <w:top w:w="0" w:type="dxa"/>
            <w:left w:w="108" w:type="dxa"/>
            <w:bottom w:w="0" w:type="dxa"/>
            <w:right w:w="108" w:type="dxa"/>
          </w:tblCellMar>
        </w:tblPrEx>
        <w:trPr>
          <w:trHeight w:val="675" w:hRule="atLeast"/>
          <w:jc w:val="center"/>
        </w:trPr>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13</w:t>
            </w:r>
          </w:p>
        </w:tc>
        <w:tc>
          <w:tcPr>
            <w:tcW w:w="47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A240700005.01</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肿瘤光动力学治疗(尖锐湿疣收取)</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光敏剂、一次性石英光纤</w:t>
            </w: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500</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503114000700000-A240700005.01</w:t>
            </w:r>
          </w:p>
        </w:tc>
      </w:tr>
      <w:tr>
        <w:tblPrEx>
          <w:tblCellMar>
            <w:top w:w="0" w:type="dxa"/>
            <w:left w:w="108" w:type="dxa"/>
            <w:bottom w:w="0" w:type="dxa"/>
            <w:right w:w="108" w:type="dxa"/>
          </w:tblCellMar>
        </w:tblPrEx>
        <w:trPr>
          <w:trHeight w:val="675" w:hRule="atLeast"/>
          <w:jc w:val="center"/>
        </w:trPr>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14</w:t>
            </w:r>
          </w:p>
        </w:tc>
        <w:tc>
          <w:tcPr>
            <w:tcW w:w="47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A240700005.02</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肿瘤光动力学治疗(痤疮收取)</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光敏剂、一次性石英光纤</w:t>
            </w: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500</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502407000140000-A240700005.02</w:t>
            </w:r>
          </w:p>
        </w:tc>
      </w:tr>
      <w:tr>
        <w:tblPrEx>
          <w:tblCellMar>
            <w:top w:w="0" w:type="dxa"/>
            <w:left w:w="108" w:type="dxa"/>
            <w:bottom w:w="0" w:type="dxa"/>
            <w:right w:w="108" w:type="dxa"/>
          </w:tblCellMar>
        </w:tblPrEx>
        <w:trPr>
          <w:trHeight w:val="580" w:hRule="atLeast"/>
          <w:jc w:val="center"/>
        </w:trPr>
        <w:tc>
          <w:tcPr>
            <w:tcW w:w="18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330802018.10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右室双出口矫治术(内隧道)</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4,455.00</w:t>
            </w:r>
          </w:p>
        </w:tc>
        <w:tc>
          <w:tcPr>
            <w:tcW w:w="6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003308020180100-330802018.10</w:t>
            </w:r>
          </w:p>
        </w:tc>
      </w:tr>
      <w:tr>
        <w:tblPrEx>
          <w:tblCellMar>
            <w:top w:w="0" w:type="dxa"/>
            <w:left w:w="108" w:type="dxa"/>
            <w:bottom w:w="0" w:type="dxa"/>
            <w:right w:w="108" w:type="dxa"/>
          </w:tblCellMar>
        </w:tblPrEx>
        <w:trPr>
          <w:trHeight w:val="58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330802018.20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右室双出口矫治术(内通道)</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4,455.00</w:t>
            </w:r>
          </w:p>
        </w:tc>
        <w:tc>
          <w:tcPr>
            <w:tcW w:w="6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003308020180200-330802018.20</w:t>
            </w:r>
          </w:p>
        </w:tc>
      </w:tr>
      <w:tr>
        <w:tblPrEx>
          <w:tblCellMar>
            <w:top w:w="0" w:type="dxa"/>
            <w:left w:w="108" w:type="dxa"/>
            <w:bottom w:w="0" w:type="dxa"/>
            <w:right w:w="108" w:type="dxa"/>
          </w:tblCellMar>
        </w:tblPrEx>
        <w:trPr>
          <w:trHeight w:val="70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330802018.30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右室双出口矫治术(左室流出道成形)</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4,455.00</w:t>
            </w:r>
          </w:p>
        </w:tc>
        <w:tc>
          <w:tcPr>
            <w:tcW w:w="6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003308020180300-330802018.30</w:t>
            </w:r>
          </w:p>
        </w:tc>
      </w:tr>
      <w:tr>
        <w:tblPrEx>
          <w:tblCellMar>
            <w:top w:w="0" w:type="dxa"/>
            <w:left w:w="108" w:type="dxa"/>
            <w:bottom w:w="0" w:type="dxa"/>
            <w:right w:w="108" w:type="dxa"/>
          </w:tblCellMar>
        </w:tblPrEx>
        <w:trPr>
          <w:trHeight w:val="72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330802018.40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右室双出口矫治术(右室流出道成形术)</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center"/>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4,455.00</w:t>
            </w:r>
          </w:p>
        </w:tc>
        <w:tc>
          <w:tcPr>
            <w:tcW w:w="6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003308020180000-330802018.40</w:t>
            </w:r>
          </w:p>
        </w:tc>
      </w:tr>
      <w:tr>
        <w:tblPrEx>
          <w:tblCellMar>
            <w:top w:w="0" w:type="dxa"/>
            <w:left w:w="108" w:type="dxa"/>
            <w:bottom w:w="0" w:type="dxa"/>
            <w:right w:w="108" w:type="dxa"/>
          </w:tblCellMar>
        </w:tblPrEx>
        <w:trPr>
          <w:trHeight w:val="78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430000026</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蜂蛰疗法</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指以活蜂尾针蛰刺达到蜂毒治疗作用</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待定</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004300000260000-430000026</w:t>
            </w:r>
          </w:p>
        </w:tc>
      </w:tr>
      <w:tr>
        <w:tblPrEx>
          <w:tblCellMar>
            <w:top w:w="0" w:type="dxa"/>
            <w:left w:w="108" w:type="dxa"/>
            <w:bottom w:w="0" w:type="dxa"/>
            <w:right w:w="108" w:type="dxa"/>
          </w:tblCellMar>
        </w:tblPrEx>
        <w:trPr>
          <w:trHeight w:val="76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宋体"/>
                <w:color w:val="000000"/>
                <w:sz w:val="18"/>
                <w:szCs w:val="18"/>
                <w:lang w:val="en-US" w:eastAsia="zh-CN"/>
              </w:rPr>
            </w:pPr>
            <w:r>
              <w:rPr>
                <w:rFonts w:hint="eastAsia" w:ascii="Times New Roman" w:hAnsi="Times New Roman" w:eastAsia="宋体" w:cs="宋体"/>
                <w:i w:val="0"/>
                <w:iCs w:val="0"/>
                <w:color w:val="000000"/>
                <w:kern w:val="0"/>
                <w:sz w:val="18"/>
                <w:szCs w:val="18"/>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460000020.10</w:t>
            </w:r>
          </w:p>
        </w:tc>
        <w:tc>
          <w:tcPr>
            <w:tcW w:w="6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混合痔铜离子电化学治疗术(内痔)</w:t>
            </w:r>
          </w:p>
        </w:tc>
        <w:tc>
          <w:tcPr>
            <w:tcW w:w="11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2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u w:val="none"/>
                <w:lang w:val="en-US" w:eastAsia="zh-CN" w:bidi="ar"/>
              </w:rPr>
              <w:t xml:space="preserve"> 待定</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380" w:lineRule="exact"/>
              <w:jc w:val="both"/>
              <w:rPr>
                <w:rFonts w:hint="eastAsia" w:ascii="Times New Roman" w:hAnsi="Times New Roman" w:eastAsia="宋体" w:cs="宋体"/>
                <w:color w:val="000000"/>
                <w:sz w:val="18"/>
                <w:szCs w:val="18"/>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i w:val="0"/>
                <w:iCs w:val="0"/>
                <w:color w:val="000000"/>
                <w:kern w:val="0"/>
                <w:sz w:val="18"/>
                <w:szCs w:val="18"/>
                <w:u w:val="none"/>
                <w:lang w:val="en-US" w:eastAsia="zh-CN" w:bidi="ar"/>
              </w:rPr>
              <w:t>004600000200100-460000020.10</w:t>
            </w:r>
          </w:p>
        </w:tc>
      </w:tr>
    </w:tbl>
    <w:p>
      <w:pPr>
        <w:pStyle w:val="2"/>
        <w:rPr>
          <w:rFonts w:hint="eastAsia" w:ascii="Times New Roman" w:hAnsi="Times New Roman" w:eastAsia="方正仿宋_GBK" w:cs="黑体"/>
          <w:b w:val="0"/>
          <w:bCs/>
          <w:vanish/>
          <w:kern w:val="2"/>
          <w:sz w:val="32"/>
          <w:szCs w:val="32"/>
          <w:lang w:val="en-US" w:eastAsia="zh-CN" w:bidi="ar-SA"/>
        </w:rPr>
      </w:pPr>
      <w:bookmarkStart w:id="2" w:name="_GoBack"/>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ascii="Times New Roman" w:hAnsi="Times New Roman" w:eastAsia="方正仿宋_GBK" w:cs="黑体"/>
          <w:b w:val="0"/>
          <w:bCs/>
          <w:vanish/>
          <w:kern w:val="2"/>
          <w:sz w:val="32"/>
          <w:szCs w:val="32"/>
          <w:lang w:val="en-US" w:eastAsia="zh-CN" w:bidi="ar-SA"/>
        </w:rPr>
      </w:pPr>
    </w:p>
    <w:p>
      <w:pPr>
        <w:pStyle w:val="2"/>
        <w:rPr>
          <w:rFonts w:hint="eastAsia"/>
          <w:vanish/>
          <w:lang w:val="en-US" w:eastAsia="zh-CN"/>
        </w:rPr>
      </w:pPr>
    </w:p>
    <w:p>
      <w:pPr>
        <w:pStyle w:val="2"/>
        <w:rPr>
          <w:rFonts w:hint="eastAsia" w:ascii="Times New Roman" w:hAnsi="Times New Roman" w:eastAsia="方正仿宋_GBK" w:cs="黑体"/>
          <w:b w:val="0"/>
          <w:bCs/>
          <w:vanish/>
          <w:kern w:val="2"/>
          <w:sz w:val="32"/>
          <w:szCs w:val="32"/>
          <w:lang w:val="en-US" w:eastAsia="zh-CN" w:bidi="ar-SA"/>
        </w:rPr>
      </w:pPr>
    </w:p>
    <w:p>
      <w:pPr>
        <w:rPr>
          <w:rFonts w:hint="eastAsia"/>
          <w:vanish/>
          <w:lang w:val="en-US" w:eastAsia="zh-CN"/>
        </w:rPr>
      </w:pPr>
    </w:p>
    <w:bookmarkEnd w:id="2"/>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p>
    <w:p>
      <w:pPr>
        <w:rPr>
          <w:rFonts w:hint="eastAsia"/>
          <w:vanish/>
          <w:lang w:val="en-US" w:eastAsia="zh-CN"/>
        </w:rPr>
        <w:sectPr>
          <w:pgSz w:w="16838" w:h="11906" w:orient="landscape"/>
          <w:pgMar w:top="1587" w:right="1962" w:bottom="1474" w:left="1848" w:header="851" w:footer="992" w:gutter="0"/>
          <w:pgNumType w:fmt="numberInDash"/>
          <w:cols w:space="0" w:num="1"/>
          <w:rtlGutter w:val="0"/>
          <w:docGrid w:type="lines" w:linePitch="327" w:charSpace="0"/>
        </w:sectPr>
      </w:pPr>
    </w:p>
    <w:p>
      <w:pPr>
        <w:pStyle w:val="2"/>
        <w:rPr>
          <w:rFonts w:hint="eastAsia"/>
          <w:vanish/>
          <w:lang w:val="en-US" w:eastAsia="zh-CN"/>
        </w:rPr>
      </w:pPr>
    </w:p>
    <w:p>
      <w:pPr>
        <w:rPr>
          <w:rFonts w:hint="eastAsia"/>
          <w:vanish/>
          <w:lang w:val="en-US" w:eastAsia="zh-CN"/>
        </w:rPr>
        <w:sectPr>
          <w:pgSz w:w="16838" w:h="11906" w:orient="landscape"/>
          <w:pgMar w:top="1587" w:right="1962" w:bottom="1474" w:left="1848" w:header="851" w:footer="992" w:gutter="0"/>
          <w:pgNumType w:fmt="numberInDash"/>
          <w:cols w:space="0" w:num="1"/>
          <w:rtlGutter w:val="0"/>
          <w:docGrid w:type="lines" w:linePitch="327"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0288;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0D923DDB"/>
    <w:rsid w:val="16D81DB6"/>
    <w:rsid w:val="174775C1"/>
    <w:rsid w:val="19F26BB1"/>
    <w:rsid w:val="1A7754F8"/>
    <w:rsid w:val="1B0753E2"/>
    <w:rsid w:val="1C03787B"/>
    <w:rsid w:val="1F66431E"/>
    <w:rsid w:val="1F6B6086"/>
    <w:rsid w:val="1FF2314D"/>
    <w:rsid w:val="20E3156C"/>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8224796"/>
    <w:rsid w:val="3A0972FD"/>
    <w:rsid w:val="3A681A91"/>
    <w:rsid w:val="3CC11305"/>
    <w:rsid w:val="3D5F75E4"/>
    <w:rsid w:val="3E8C7CCF"/>
    <w:rsid w:val="40671451"/>
    <w:rsid w:val="40CB1594"/>
    <w:rsid w:val="41533E94"/>
    <w:rsid w:val="43350544"/>
    <w:rsid w:val="44897362"/>
    <w:rsid w:val="44BE37CF"/>
    <w:rsid w:val="45A537EA"/>
    <w:rsid w:val="464D005F"/>
    <w:rsid w:val="48572A95"/>
    <w:rsid w:val="4A280732"/>
    <w:rsid w:val="4A9F2515"/>
    <w:rsid w:val="4D3B4FB8"/>
    <w:rsid w:val="4E5F467B"/>
    <w:rsid w:val="4F76206A"/>
    <w:rsid w:val="50377F26"/>
    <w:rsid w:val="53AD1103"/>
    <w:rsid w:val="546D5C10"/>
    <w:rsid w:val="54E36229"/>
    <w:rsid w:val="554B02CC"/>
    <w:rsid w:val="556D5B9C"/>
    <w:rsid w:val="589B50B4"/>
    <w:rsid w:val="59312802"/>
    <w:rsid w:val="5BEE4C02"/>
    <w:rsid w:val="5F1B253F"/>
    <w:rsid w:val="5F78236B"/>
    <w:rsid w:val="602461BE"/>
    <w:rsid w:val="60E9359A"/>
    <w:rsid w:val="6314426C"/>
    <w:rsid w:val="631B4721"/>
    <w:rsid w:val="63936688"/>
    <w:rsid w:val="655725A5"/>
    <w:rsid w:val="699A3F3C"/>
    <w:rsid w:val="6CF5407A"/>
    <w:rsid w:val="6FAC2205"/>
    <w:rsid w:val="7012691A"/>
    <w:rsid w:val="75671C1B"/>
    <w:rsid w:val="7822661E"/>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2025-01-15T01:38:57Z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D60709FA6A204F0DAF8DABC3DD3C4416</vt:lpwstr>
  </property>
</Properties>
</file>