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2"/>
        <w:rPr>
          <w:rFonts w:hint="eastAsia"/>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重庆市医疗保障局关于</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规范临床量表评估类医疗服务价格项目的通知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8</w:t>
      </w:r>
      <w:r>
        <w:rPr>
          <w:rFonts w:hint="eastAsia" w:ascii="Calibri" w:hAnsi="Calibri" w:eastAsia="方正仿宋_GBK" w:cs="方正仿宋_GBK"/>
          <w:sz w:val="32"/>
          <w:szCs w:val="32"/>
        </w:rPr>
        <w:t>号</w:t>
      </w:r>
    </w:p>
    <w:p>
      <w:pPr>
        <w:widowControl/>
        <w:shd w:val="clear" w:color="auto" w:fill="FFFFFF"/>
        <w:spacing w:before="0" w:beforeAutospacing="0" w:after="0" w:afterAutospacing="0" w:line="600" w:lineRule="exact"/>
        <w:jc w:val="left"/>
        <w:rPr>
          <w:rFonts w:ascii="方正仿宋_GBK" w:hAnsi="方正仿宋_GBK" w:eastAsia="方正仿宋_GBK" w:cs="方正仿宋_GBK"/>
          <w:color w:val="33333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各区县（自治县）医保局，两江新区社会保障局、高新区政务服务和社会事务中心、万盛经开区人力社保局，各公立医疗机构、有关单位：</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为贯彻落实《国家医保局关于印发〈深化医疗服务价格改革试点方案〉的通知》（医保发〔2021〕41号）精神，按照《国家医保局医药价格和招标采购指导中心关于印发〈临床量表评估类医疗服务价格项目立项指南〉的通知》（医保价采中心函〔2021〕33号）要求，决定规范我市临床量表评估类医疗服务价格项目，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r>
        <w:rPr>
          <w:rFonts w:hint="eastAsia" w:ascii="Times New Roman" w:hAnsi="Times New Roman" w:eastAsia="方正黑体_GBK" w:cs="方正黑体_GBK"/>
          <w:color w:val="000000"/>
          <w:kern w:val="0"/>
          <w:sz w:val="32"/>
          <w:szCs w:val="32"/>
          <w:shd w:val="clear" w:color="auto" w:fill="FFFFFF"/>
          <w:lang w:val="en-US" w:eastAsia="zh-CN" w:bidi="ar-SA"/>
        </w:rPr>
        <w:t>一、规范临床量表评估类医疗服务价格项目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执行国家医保局《临床量表评估类医疗服务价格项目立项指南》，</w:t>
      </w:r>
      <w:r>
        <w:rPr>
          <w:rFonts w:hint="eastAsia" w:ascii="Times New Roman" w:hAnsi="Times New Roman" w:eastAsia="方正仿宋_GBK" w:cs="方正仿宋_GBK"/>
          <w:strike w:val="0"/>
          <w:dstrike w:val="0"/>
          <w:snapToGrid w:val="0"/>
          <w:color w:val="000000"/>
          <w:kern w:val="0"/>
          <w:sz w:val="32"/>
          <w:szCs w:val="32"/>
          <w:shd w:val="clear" w:color="auto" w:fill="FFFFFF"/>
          <w:lang w:val="en-US" w:eastAsia="zh-CN" w:bidi="ar-SA"/>
        </w:rPr>
        <w:t>设立</w:t>
      </w: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临床量表评估类医疗服务价格项目11项（详见附件1），停用原执行医疗服务价格项目</w:t>
      </w:r>
      <w:r>
        <w:rPr>
          <w:rFonts w:ascii="Times New Roman" w:hAnsi="Times New Roman" w:eastAsia="方正仿宋_GBK" w:cs="方正仿宋_GBK"/>
          <w:snapToGrid w:val="0"/>
          <w:color w:val="000000"/>
          <w:kern w:val="0"/>
          <w:sz w:val="32"/>
          <w:szCs w:val="32"/>
          <w:shd w:val="clear" w:color="auto" w:fill="FFFFFF"/>
          <w:lang w:val="en-US" w:eastAsia="zh-CN" w:bidi="ar-SA"/>
        </w:rPr>
        <w:t>112</w:t>
      </w:r>
      <w:r>
        <w:rPr>
          <w:rFonts w:hint="eastAsia" w:ascii="Times New Roman" w:hAnsi="Times New Roman" w:eastAsia="方正仿宋_GBK" w:cs="方正仿宋_GBK"/>
          <w:snapToGrid w:val="0"/>
          <w:color w:val="000000"/>
          <w:kern w:val="0"/>
          <w:sz w:val="32"/>
          <w:szCs w:val="32"/>
          <w:shd w:val="clear" w:color="auto" w:fill="FFFFFF"/>
          <w:lang w:val="en-US" w:eastAsia="zh-CN" w:bidi="ar-SA"/>
        </w:rPr>
        <w:t>项（详见附件2）。</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r>
        <w:rPr>
          <w:rFonts w:hint="eastAsia" w:ascii="Times New Roman" w:hAnsi="Times New Roman" w:eastAsia="方正黑体_GBK" w:cs="方正黑体_GBK"/>
          <w:color w:val="000000"/>
          <w:kern w:val="0"/>
          <w:sz w:val="32"/>
          <w:szCs w:val="32"/>
          <w:shd w:val="clear" w:color="auto" w:fill="FFFFFF"/>
          <w:lang w:val="en-US" w:eastAsia="zh-CN" w:bidi="ar-SA"/>
        </w:rPr>
        <w:t>二、医保支付政策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综合考虑临床需要、基金支付能力和价格等因素，明确临床量表评估类医疗服务价格项目的医保支付政策（详见附件1）。</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r>
        <w:rPr>
          <w:rFonts w:hint="eastAsia" w:ascii="Times New Roman" w:hAnsi="Times New Roman" w:eastAsia="方正黑体_GBK" w:cs="方正黑体_GBK"/>
          <w:color w:val="000000"/>
          <w:kern w:val="0"/>
          <w:sz w:val="32"/>
          <w:szCs w:val="32"/>
          <w:shd w:val="clear" w:color="auto" w:fill="FFFFFF"/>
          <w:lang w:val="en-US" w:eastAsia="zh-CN" w:bidi="ar-SA"/>
        </w:rPr>
        <w:t>三、有关要求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ascii="Times New Roman" w:hAnsi="Times New Roman" w:eastAsia="仿宋" w:cs="仿宋"/>
          <w:color w:val="000000"/>
          <w:kern w:val="0"/>
          <w:sz w:val="31"/>
          <w:szCs w:val="31"/>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一）各定点医疗机构应按时做好医疗服务价格项目的相关调整工作，规范诊疗行为，不得扩大收费范围，凡在项目中包含的服务内容及耗材不得单独收费。各定点医疗机构要严格按规定执行明码标价和医疗费用明细清单制度，通过电子显示屏等多种方式向患者公示医疗服务项目价格，做好患者沟通解释工作，自觉接受社会监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（二）各区县医保部门要督促辖区内公立医疗机构执行规范后的医疗服务价格项目，做好宣传解释工作，加强调研和现场检查核查，确保政策执行不走样。遇有重大问题及时向市医保局反馈。</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Times New Roman" w:hAnsi="Times New Roman" w:eastAsia="微软雅黑" w:cs="宋体"/>
          <w:color w:val="000000"/>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bidi="ar"/>
        </w:rPr>
        <w:t xml:space="preserve">   </w:t>
      </w:r>
      <w:r>
        <w:rPr>
          <w:rFonts w:ascii="Times New Roman" w:hAnsi="Times New Roman" w:eastAsia="微软雅黑" w:cs="宋体"/>
          <w:color w:val="000000"/>
          <w:kern w:val="0"/>
          <w:sz w:val="32"/>
          <w:szCs w:val="32"/>
          <w:shd w:val="clear" w:color="auto" w:fill="FFFFFF"/>
          <w:lang w:val="en-US" w:eastAsia="zh-CN" w:bidi="ar-SA"/>
        </w:rPr>
        <w:t>  </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r>
        <w:rPr>
          <w:rFonts w:hint="eastAsia" w:ascii="Times New Roman" w:hAnsi="Times New Roman" w:eastAsia="方正黑体_GBK" w:cs="方正黑体_GBK"/>
          <w:color w:val="000000"/>
          <w:kern w:val="0"/>
          <w:sz w:val="32"/>
          <w:szCs w:val="32"/>
          <w:shd w:val="clear" w:color="auto" w:fill="FFFFFF"/>
          <w:lang w:val="en-US" w:eastAsia="zh-CN" w:bidi="ar-SA"/>
        </w:rPr>
        <w:t>本通知自2025年3月22日起执行。原政策文件与本通知不符的，以本通知为准。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附件：1．重庆市临床量表评估类医疗服务项目价格表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1600" w:firstLineChars="500"/>
        <w:jc w:val="both"/>
        <w:textAlignment w:val="auto"/>
        <w:rPr>
          <w:rFonts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2．停用部分医疗服务价格项目表</w:t>
      </w:r>
    </w:p>
    <w:p>
      <w:pPr>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right="840" w:rightChars="400"/>
        <w:jc w:val="right"/>
        <w:textAlignment w:val="auto"/>
        <w:rPr>
          <w:rFonts w:ascii="Times New Roman" w:hAnsi="Times New Roman" w:eastAsia="仿宋" w:cs="Times New Roman"/>
          <w:color w:val="000000"/>
          <w:kern w:val="0"/>
          <w:sz w:val="32"/>
          <w:szCs w:val="32"/>
          <w:shd w:val="clear" w:color="auto" w:fill="FFFFFF"/>
          <w:lang w:val="en-US" w:eastAsia="zh-CN" w:bidi="ar"/>
        </w:rPr>
      </w:pPr>
      <w:r>
        <w:rPr>
          <w:rFonts w:ascii="Times New Roman" w:hAnsi="Times New Roman" w:eastAsia="方正仿宋_GBK" w:cs="Times New Roman"/>
          <w:color w:val="000000"/>
          <w:kern w:val="0"/>
          <w:sz w:val="32"/>
          <w:szCs w:val="32"/>
          <w:shd w:val="clear" w:color="auto" w:fill="FFFFFF"/>
          <w:lang w:val="en-US" w:eastAsia="zh-CN" w:bidi="ar"/>
        </w:rPr>
        <w:t>重庆市医疗保障局</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right="840" w:rightChars="400" w:firstLine="5120" w:firstLineChars="1600"/>
        <w:jc w:val="center"/>
        <w:textAlignment w:val="auto"/>
        <w:rPr>
          <w:rFonts w:ascii="Times New Roman" w:hAnsi="Times New Roman" w:eastAsia="仿宋" w:cs="Times New Roman"/>
          <w:color w:val="000000"/>
          <w:kern w:val="0"/>
          <w:sz w:val="31"/>
          <w:szCs w:val="31"/>
          <w:lang w:val="en-US" w:eastAsia="zh-CN" w:bidi="ar-SA"/>
        </w:rPr>
      </w:pPr>
      <w:r>
        <w:rPr>
          <w:rFonts w:hint="default" w:ascii="Times New Roman" w:hAnsi="Times New Roman" w:eastAsia="仿宋" w:cs="Times New Roman"/>
          <w:color w:val="000000"/>
          <w:kern w:val="0"/>
          <w:sz w:val="32"/>
          <w:szCs w:val="32"/>
          <w:shd w:val="clear" w:color="auto" w:fill="FFFFFF"/>
          <w:lang w:val="en-US" w:eastAsia="zh-CN" w:bidi="ar"/>
        </w:rPr>
        <w:t xml:space="preserve">  </w:t>
      </w:r>
      <w:r>
        <w:rPr>
          <w:rFonts w:ascii="Times New Roman" w:hAnsi="Times New Roman" w:eastAsia="仿宋" w:cs="Times New Roman"/>
          <w:color w:val="000000"/>
          <w:kern w:val="0"/>
          <w:sz w:val="32"/>
          <w:szCs w:val="32"/>
          <w:shd w:val="clear" w:color="auto" w:fill="FFFFFF"/>
          <w:lang w:val="en-US" w:eastAsia="zh-CN" w:bidi="ar"/>
        </w:rPr>
        <w:t>2025</w:t>
      </w:r>
      <w:r>
        <w:rPr>
          <w:rFonts w:ascii="Times New Roman" w:hAnsi="Times New Roman" w:eastAsia="方正仿宋_GBK" w:cs="Times New Roman"/>
          <w:color w:val="000000"/>
          <w:kern w:val="0"/>
          <w:sz w:val="32"/>
          <w:szCs w:val="32"/>
          <w:shd w:val="clear" w:color="auto" w:fill="FFFFFF"/>
          <w:lang w:val="en-US" w:eastAsia="zh-CN" w:bidi="ar"/>
        </w:rPr>
        <w:t>年</w:t>
      </w:r>
      <w:r>
        <w:rPr>
          <w:rFonts w:hint="default" w:ascii="Times New Roman" w:hAnsi="Times New Roman" w:eastAsia="方正仿宋_GBK" w:cs="Times New Roman"/>
          <w:color w:val="000000"/>
          <w:kern w:val="0"/>
          <w:sz w:val="32"/>
          <w:szCs w:val="32"/>
          <w:shd w:val="clear" w:color="auto" w:fill="FFFFFF"/>
          <w:lang w:val="en-US" w:eastAsia="zh-CN" w:bidi="ar"/>
        </w:rPr>
        <w:t>2</w:t>
      </w:r>
      <w:r>
        <w:rPr>
          <w:rFonts w:ascii="Times New Roman" w:hAnsi="Times New Roman" w:eastAsia="方正仿宋_GBK" w:cs="Times New Roman"/>
          <w:color w:val="000000"/>
          <w:kern w:val="0"/>
          <w:sz w:val="32"/>
          <w:szCs w:val="32"/>
          <w:shd w:val="clear" w:color="auto" w:fill="FFFFFF"/>
          <w:lang w:val="en-US" w:eastAsia="zh-CN" w:bidi="ar"/>
        </w:rPr>
        <w:t>月</w:t>
      </w:r>
      <w:r>
        <w:rPr>
          <w:rFonts w:hint="default" w:ascii="Times New Roman" w:hAnsi="Times New Roman" w:eastAsia="方正仿宋_GBK" w:cs="Times New Roman"/>
          <w:color w:val="000000"/>
          <w:kern w:val="0"/>
          <w:sz w:val="32"/>
          <w:szCs w:val="32"/>
          <w:shd w:val="clear" w:color="auto" w:fill="FFFFFF"/>
          <w:lang w:val="en-US" w:eastAsia="zh-CN" w:bidi="ar"/>
        </w:rPr>
        <w:t>21</w:t>
      </w:r>
      <w:r>
        <w:rPr>
          <w:rFonts w:ascii="Times New Roman" w:hAnsi="Times New Roman" w:eastAsia="方正仿宋_GBK" w:cs="Times New Roman"/>
          <w:color w:val="000000"/>
          <w:kern w:val="0"/>
          <w:sz w:val="32"/>
          <w:szCs w:val="32"/>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420" w:firstLineChars="200"/>
        <w:jc w:val="both"/>
        <w:textAlignment w:val="auto"/>
        <w:rPr>
          <w:rFonts w:ascii="Times New Roman" w:hAnsi="Times New Roman"/>
          <w:color w:val="000000"/>
        </w:rPr>
      </w:pPr>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Pr>
        <w:sectPr>
          <w:footerReference r:id="rId3"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重庆市临床量表评估类医疗服务项目价格表</w:t>
      </w:r>
    </w:p>
    <w:tbl>
      <w:tblPr>
        <w:tblStyle w:val="8"/>
        <w:tblW w:w="5195" w:type="pct"/>
        <w:jc w:val="center"/>
        <w:shd w:val="clear" w:color="auto" w:fill="FFFFFF"/>
        <w:tblLayout w:type="fixed"/>
        <w:tblCellMar>
          <w:top w:w="0" w:type="dxa"/>
          <w:left w:w="108" w:type="dxa"/>
          <w:bottom w:w="0" w:type="dxa"/>
          <w:right w:w="108" w:type="dxa"/>
        </w:tblCellMar>
      </w:tblPr>
      <w:tblGrid>
        <w:gridCol w:w="354"/>
        <w:gridCol w:w="1856"/>
        <w:gridCol w:w="1208"/>
        <w:gridCol w:w="1852"/>
        <w:gridCol w:w="876"/>
        <w:gridCol w:w="753"/>
        <w:gridCol w:w="1686"/>
        <w:gridCol w:w="663"/>
        <w:gridCol w:w="686"/>
        <w:gridCol w:w="729"/>
        <w:gridCol w:w="808"/>
        <w:gridCol w:w="446"/>
        <w:gridCol w:w="630"/>
        <w:gridCol w:w="931"/>
      </w:tblGrid>
      <w:tr>
        <w:tblPrEx>
          <w:shd w:val="clear" w:color="auto" w:fill="FFFFFF"/>
          <w:tblCellMar>
            <w:top w:w="0" w:type="dxa"/>
            <w:left w:w="108" w:type="dxa"/>
            <w:bottom w:w="0" w:type="dxa"/>
            <w:right w:w="108" w:type="dxa"/>
          </w:tblCellMar>
        </w:tblPrEx>
        <w:trPr>
          <w:trHeight w:val="3432" w:hRule="atLeast"/>
          <w:jc w:val="center"/>
        </w:trPr>
        <w:tc>
          <w:tcPr>
            <w:tcW w:w="5000" w:type="pct"/>
            <w:gridSpan w:val="14"/>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使用说明：</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1.</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不包括以临床试验、流行病学调查、长期随访、科学研究为目的的评估。</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2.</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临床量表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是指卫生行业主管部门相关技术规范等准许使用的临床量表。对目前根据特定量表分别设立的临床量表评估类医疗服务价格项目予以整合，按照以服务产出为导向的原则，以</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得出评估结论”作为一个完整计价单元，医疗机构为得出准确结论需要应用1份或若干份量表的，按照评估条目的总数分档计费。不再根据特定量表新增医疗服务价格项目。</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3.</w:t>
            </w:r>
            <w:r>
              <w:rPr>
                <w:rFonts w:hint="eastAsia" w:ascii="Times New Roman" w:hAnsi="Times New Roman" w:eastAsia="宋体" w:cs="宋体"/>
                <w:color w:val="000000"/>
                <w:kern w:val="0"/>
                <w:sz w:val="21"/>
                <w:szCs w:val="21"/>
                <w:highlight w:val="none"/>
                <w:lang w:eastAsia="zh-CN" w:bidi="ar"/>
              </w:rPr>
              <w:t>本类</w:t>
            </w:r>
            <w:r>
              <w:rPr>
                <w:rFonts w:hint="eastAsia" w:ascii="Times New Roman" w:hAnsi="Times New Roman" w:eastAsia="宋体" w:cs="宋体"/>
                <w:color w:val="000000"/>
                <w:kern w:val="0"/>
                <w:sz w:val="21"/>
                <w:szCs w:val="21"/>
                <w:highlight w:val="none"/>
                <w:lang w:bidi="ar"/>
              </w:rPr>
              <w:t>项目所称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甲类评估”，是指评估条目总数∈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0,20]的临床量表评估；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乙类评估”，是指评估条目总数∈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20,40]的临床量表评估；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丙类评估”，是指评估条目总数∈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40,100]的临床量表评估；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丁类评估”，是指评估条目总数∈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100,∞</w:t>
            </w:r>
            <w:r>
              <w:rPr>
                <w:rFonts w:hint="eastAsia" w:ascii="Times New Roman" w:hAnsi="Times New Roman" w:eastAsia="宋体" w:cs="宋体"/>
                <w:color w:val="000000"/>
                <w:kern w:val="0"/>
                <w:sz w:val="21"/>
                <w:szCs w:val="21"/>
                <w:highlight w:val="none"/>
                <w:lang w:val="en-US" w:eastAsia="zh-CN" w:bidi="ar"/>
              </w:rPr>
              <w:t>）</w:t>
            </w:r>
            <w:r>
              <w:rPr>
                <w:rFonts w:hint="eastAsia" w:ascii="Times New Roman" w:hAnsi="Times New Roman" w:eastAsia="宋体" w:cs="宋体"/>
                <w:color w:val="000000"/>
                <w:kern w:val="0"/>
                <w:sz w:val="21"/>
                <w:szCs w:val="21"/>
                <w:highlight w:val="none"/>
                <w:lang w:bidi="ar"/>
              </w:rPr>
              <w:t>的临床量表评估。</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4.</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评估条目”是指临床评估量表中规范列出、需要作答的具体问题。评估条目属于选项式的，按1条评估条目计算；评估条目属于论述、记忆、描述等非选项式的，按2条评估条目计算。</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5.</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基本物质消耗”包括但不限于临床量表的工本费，以及临床量表、评估设备及评估软件的版权、开发、购买等的成本。</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6.</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临床量表评估”按照以资源消耗为基础的原则，除区分评估条目总数的差异之外，不设置其他加收项。乙类评估按甲类评估+乙类评估（加收）合计收费，丙类评估按甲类评估+丙类评估（加收）合计收费，丁类评估按甲类评估+丁类评估（加收）合计收费。</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7.</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扩展项”指同一项目下以不同方式提供或在不同场景应用时，只扩展价格项目适用范围、不额外加价的一类子项，子项的价格按主项目执行。</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8.</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儿童评估”指以6周岁</w:t>
            </w:r>
            <w:r>
              <w:rPr>
                <w:rFonts w:hint="eastAsia" w:ascii="Times New Roman" w:hAnsi="Times New Roman" w:eastAsia="宋体" w:cs="宋体"/>
                <w:color w:val="000000"/>
                <w:kern w:val="0"/>
                <w:sz w:val="21"/>
                <w:szCs w:val="21"/>
                <w:highlight w:val="none"/>
                <w:lang w:eastAsia="zh-CN" w:bidi="ar"/>
              </w:rPr>
              <w:t>及</w:t>
            </w:r>
            <w:r>
              <w:rPr>
                <w:rFonts w:hint="eastAsia" w:ascii="Times New Roman" w:hAnsi="Times New Roman" w:eastAsia="宋体" w:cs="宋体"/>
                <w:color w:val="000000"/>
                <w:kern w:val="0"/>
                <w:sz w:val="21"/>
                <w:szCs w:val="21"/>
                <w:highlight w:val="none"/>
                <w:lang w:bidi="ar"/>
              </w:rPr>
              <w:t>以下儿童为对象进行的临床量表评估。此类情形下，实际是否有专业评估人员协助，均按</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他评”及对应的分档标准计价。周岁的计算方法以法律的相关规定为准。</w:t>
            </w:r>
          </w:p>
        </w:tc>
      </w:tr>
      <w:tr>
        <w:tblPrEx>
          <w:shd w:val="clear" w:color="auto" w:fill="FFFFFF"/>
          <w:tblCellMar>
            <w:top w:w="0" w:type="dxa"/>
            <w:left w:w="108" w:type="dxa"/>
            <w:bottom w:w="0" w:type="dxa"/>
            <w:right w:w="108" w:type="dxa"/>
          </w:tblCellMar>
        </w:tblPrEx>
        <w:trPr>
          <w:trHeight w:val="438" w:hRule="atLeast"/>
          <w:jc w:val="center"/>
        </w:trPr>
        <w:tc>
          <w:tcPr>
            <w:tcW w:w="131"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sz w:val="21"/>
                <w:szCs w:val="21"/>
                <w:highlight w:val="none"/>
              </w:rPr>
              <w:t>序号</w:t>
            </w:r>
          </w:p>
        </w:tc>
        <w:tc>
          <w:tcPr>
            <w:tcW w:w="68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项目编码</w:t>
            </w:r>
          </w:p>
        </w:tc>
        <w:tc>
          <w:tcPr>
            <w:tcW w:w="4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项目名称</w:t>
            </w:r>
          </w:p>
        </w:tc>
        <w:tc>
          <w:tcPr>
            <w:tcW w:w="68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服务产出</w:t>
            </w:r>
          </w:p>
        </w:tc>
        <w:tc>
          <w:tcPr>
            <w:tcW w:w="324"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价格</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构成</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计价单位</w:t>
            </w:r>
          </w:p>
        </w:tc>
        <w:tc>
          <w:tcPr>
            <w:tcW w:w="62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计价说明</w:t>
            </w:r>
          </w:p>
        </w:tc>
        <w:tc>
          <w:tcPr>
            <w:tcW w:w="24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三级医院</w:t>
            </w:r>
          </w:p>
        </w:tc>
        <w:tc>
          <w:tcPr>
            <w:tcW w:w="254"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二级医院</w:t>
            </w:r>
          </w:p>
        </w:tc>
        <w:tc>
          <w:tcPr>
            <w:tcW w:w="270"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一级医院</w:t>
            </w:r>
          </w:p>
        </w:tc>
        <w:tc>
          <w:tcPr>
            <w:tcW w:w="299"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其他医疗机构（含基层医疗机构）</w:t>
            </w:r>
          </w:p>
        </w:tc>
        <w:tc>
          <w:tcPr>
            <w:tcW w:w="16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医保属性</w:t>
            </w:r>
          </w:p>
        </w:tc>
        <w:tc>
          <w:tcPr>
            <w:tcW w:w="233"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医保支付限制</w:t>
            </w:r>
          </w:p>
        </w:tc>
        <w:tc>
          <w:tcPr>
            <w:tcW w:w="34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归集</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口径</w:t>
            </w:r>
          </w:p>
        </w:tc>
      </w:tr>
      <w:tr>
        <w:tblPrEx>
          <w:shd w:val="clear" w:color="auto" w:fill="FFFFFF"/>
          <w:tblCellMar>
            <w:top w:w="0" w:type="dxa"/>
            <w:left w:w="108" w:type="dxa"/>
            <w:bottom w:w="0" w:type="dxa"/>
            <w:right w:w="108" w:type="dxa"/>
          </w:tblCellMar>
        </w:tblPrEx>
        <w:trPr>
          <w:trHeight w:val="56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60" w:lineRule="exact"/>
              <w:rPr>
                <w:rFonts w:hint="eastAsia" w:ascii="Times New Roman" w:hAnsi="Times New Roman" w:eastAsia="宋体" w:cs="宋体"/>
                <w:color w:val="000000"/>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110201</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量表</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宋体" w:cs="宋体"/>
                <w:color w:val="000000"/>
                <w:sz w:val="21"/>
                <w:szCs w:val="21"/>
                <w:highlight w:val="none"/>
              </w:rPr>
            </w:pP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eastAsia" w:ascii="Times New Roman" w:hAnsi="Times New Roman" w:eastAsia="宋体" w:cs="宋体"/>
                <w:color w:val="000000"/>
                <w:sz w:val="21"/>
                <w:szCs w:val="21"/>
                <w:highlight w:val="none"/>
              </w:rPr>
            </w:pP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eastAsia" w:ascii="Times New Roman" w:hAnsi="Times New Roman" w:eastAsia="宋体" w:cs="宋体"/>
                <w:color w:val="000000"/>
                <w:sz w:val="21"/>
                <w:szCs w:val="21"/>
                <w:highlight w:val="none"/>
              </w:rPr>
            </w:pP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eastAsia" w:ascii="Times New Roman" w:hAnsi="Times New Roman" w:eastAsia="宋体" w:cs="宋体"/>
                <w:color w:val="000000"/>
                <w:sz w:val="21"/>
                <w:szCs w:val="21"/>
                <w:highlight w:val="none"/>
              </w:rPr>
            </w:pP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eastAsia" w:ascii="Times New Roman" w:hAnsi="Times New Roman" w:eastAsia="宋体" w:cs="宋体"/>
                <w:color w:val="000000"/>
                <w:sz w:val="21"/>
                <w:szCs w:val="21"/>
                <w:highlight w:val="none"/>
              </w:rPr>
            </w:pP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宋体" w:cs="宋体"/>
                <w:color w:val="000000"/>
                <w:sz w:val="21"/>
                <w:szCs w:val="21"/>
                <w:highlight w:val="none"/>
              </w:rPr>
            </w:pP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宋体" w:cs="宋体"/>
                <w:color w:val="000000"/>
                <w:sz w:val="21"/>
                <w:szCs w:val="21"/>
                <w:highlight w:val="none"/>
              </w:rPr>
            </w:pP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Times New Roman" w:hAnsi="Times New Roman" w:eastAsia="宋体" w:cs="宋体"/>
                <w:color w:val="000000"/>
                <w:sz w:val="21"/>
                <w:szCs w:val="21"/>
                <w:highlight w:val="none"/>
              </w:rPr>
            </w:pP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Times New Roman" w:hAnsi="Times New Roman" w:eastAsia="宋体" w:cs="宋体"/>
                <w:color w:val="000000"/>
                <w:sz w:val="21"/>
                <w:szCs w:val="21"/>
                <w:highlight w:val="none"/>
              </w:rPr>
            </w:pPr>
          </w:p>
        </w:tc>
      </w:tr>
      <w:tr>
        <w:tblPrEx>
          <w:shd w:val="clear" w:color="auto" w:fill="FFFFFF"/>
          <w:tblCellMar>
            <w:top w:w="0" w:type="dxa"/>
            <w:left w:w="108" w:type="dxa"/>
            <w:bottom w:w="0" w:type="dxa"/>
            <w:right w:w="108" w:type="dxa"/>
          </w:tblCellMar>
        </w:tblPrEx>
        <w:trPr>
          <w:trHeight w:val="908"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011102010010000</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自评</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基于患者自主完成的临床量表，对患者生理或心理的功能状态形成评估结论。评估条目总数在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0,20]之间。</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所定价格涵盖完成甲类评估所需的人力资源和基本物质资源消耗。</w:t>
            </w: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16.5</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15</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14.25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13.5</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94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011102010010001</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自评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-乙类评估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基于患者自主完成的临床量表，对患者生理或心理的功能状态形成评估结论。评估条目总数在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20,40]之间。</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94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3</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011102010010002</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自评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-丙类评估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基于患者自主完成的临床量表，对患者生理或心理的功能状态形成评估结论。评估条目总数在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40,100]之间。</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10</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10</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10</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10</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847"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4</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011102010010003</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自评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-丁类评估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基于患者自主完成的临床量表，对患者生理或心理的功能状态形成评估结论。评估条目总数大于100</w:t>
            </w:r>
            <w:r>
              <w:rPr>
                <w:rFonts w:hint="eastAsia" w:ascii="Times New Roman" w:hAnsi="Times New Roman" w:eastAsia="宋体" w:cs="宋体"/>
                <w:color w:val="000000"/>
                <w:kern w:val="0"/>
                <w:sz w:val="21"/>
                <w:szCs w:val="21"/>
                <w:highlight w:val="none"/>
                <w:lang w:eastAsia="zh-CN" w:bidi="ar"/>
              </w:rPr>
              <w:t>条</w:t>
            </w:r>
            <w:r>
              <w:rPr>
                <w:rFonts w:hint="eastAsia" w:ascii="Times New Roman" w:hAnsi="Times New Roman" w:eastAsia="宋体" w:cs="宋体"/>
                <w:color w:val="000000"/>
                <w:kern w:val="0"/>
                <w:sz w:val="21"/>
                <w:szCs w:val="21"/>
                <w:highlight w:val="none"/>
                <w:lang w:bidi="ar"/>
              </w:rPr>
              <w:t>。</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25</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25</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25</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383"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011102010010100</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自评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-应用人工智能辅助的自评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扩展</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基于患者应用人工智能辅助自主完成的临床量表，对患者生理或心理的功能状态形成评估结论。</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参照</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自评”及对应标准收费。</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16.5</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15</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14.25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13.5</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自费</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351"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6</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011102010020000</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基于专业评估人员协助患者完成的临床量表，对患者生理或心理的功能状态形成评估结论。评估条目总数在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0,20]之间。</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所定价格涵盖完成甲类评估所需的人力资源和基本物质资源消耗。</w:t>
            </w: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20.9</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19</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18.05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17.1</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209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7</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011102010020001</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-乙类评估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基于专业评估人员协助患者完成的临床量表，对患者生理或心理的功能状态形成评估结论。评估条目总数在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20,40]之间。</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5</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209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8</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011102010020002</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-丙类评估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基于专业评估人员协助患者完成的临床量表，对患者生理或心理的功能状态形成评估结论。评估条目总数在</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40,100]之间。</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kern w:val="0"/>
                <w:sz w:val="21"/>
                <w:szCs w:val="21"/>
                <w:highlight w:val="none"/>
                <w:lang w:val="en-US" w:eastAsia="zh-CN" w:bidi="ar"/>
              </w:rPr>
              <w:t>21</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kern w:val="0"/>
                <w:sz w:val="21"/>
                <w:szCs w:val="21"/>
                <w:highlight w:val="none"/>
                <w:lang w:val="en-US" w:eastAsia="zh-CN" w:bidi="ar"/>
              </w:rPr>
              <w:t>21</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kern w:val="0"/>
                <w:sz w:val="21"/>
                <w:szCs w:val="21"/>
                <w:highlight w:val="none"/>
                <w:lang w:val="en-US" w:eastAsia="zh-CN" w:bidi="ar"/>
              </w:rPr>
              <w:t>21</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宋体"/>
                <w:color w:val="000000"/>
                <w:sz w:val="21"/>
                <w:szCs w:val="21"/>
                <w:highlight w:val="none"/>
                <w:lang w:val="en-US" w:eastAsia="zh-CN"/>
              </w:rPr>
            </w:pPr>
            <w:r>
              <w:rPr>
                <w:rFonts w:hint="eastAsia" w:ascii="Times New Roman" w:hAnsi="Times New Roman" w:eastAsia="宋体" w:cs="宋体"/>
                <w:color w:val="000000"/>
                <w:kern w:val="0"/>
                <w:sz w:val="21"/>
                <w:szCs w:val="21"/>
                <w:highlight w:val="none"/>
                <w:lang w:val="en-US" w:eastAsia="zh-CN" w:bidi="ar"/>
              </w:rPr>
              <w:t>21</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shd w:val="clear" w:color="auto" w:fill="FFFFFF"/>
          <w:tblCellMar>
            <w:top w:w="0" w:type="dxa"/>
            <w:left w:w="108" w:type="dxa"/>
            <w:bottom w:w="0" w:type="dxa"/>
            <w:right w:w="108" w:type="dxa"/>
          </w:tblCellMar>
        </w:tblPrEx>
        <w:trPr>
          <w:trHeight w:val="182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011102010020003</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-丁类评估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加收</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基于专业评估人员协助患者完成的临床量表，对患者生理或心理的功能状态形成评估结论。评估条目总数大于100条。</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1.不同学科的临床量表评估可分别计价。2.当日开展的同一临床量表评估仅能收取一次费用。</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36</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36</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36</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36</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tblCellMar>
            <w:top w:w="0" w:type="dxa"/>
            <w:left w:w="108" w:type="dxa"/>
            <w:bottom w:w="0" w:type="dxa"/>
            <w:right w:w="108" w:type="dxa"/>
          </w:tblCellMar>
        </w:tblPrEx>
        <w:trPr>
          <w:trHeight w:val="182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011102010020100</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highlight w:val="none"/>
                <w:lang w:eastAsia="zh-CN" w:bidi="ar"/>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-应用人工智能辅助的他评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扩展</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基于专业评估人员应用人工智能辅助协助患者完成的临床量表，对患者生理或心理的功能状态形成评估结论。</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参照</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他评”及对应标准收费。</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20.9</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19</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18.05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17.1</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自费</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宋体" w:cs="宋体"/>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r>
        <w:tblPrEx>
          <w:tblCellMar>
            <w:top w:w="0" w:type="dxa"/>
            <w:left w:w="108" w:type="dxa"/>
            <w:bottom w:w="0" w:type="dxa"/>
            <w:right w:w="108" w:type="dxa"/>
          </w:tblCellMar>
        </w:tblPrEx>
        <w:trPr>
          <w:trHeight w:val="1650" w:hRule="atLeast"/>
          <w:jc w:val="center"/>
        </w:trPr>
        <w:tc>
          <w:tcPr>
            <w:tcW w:w="13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11</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011102010020200</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lang w:eastAsia="zh-CN"/>
              </w:rPr>
            </w:pPr>
            <w:r>
              <w:rPr>
                <w:rFonts w:hint="eastAsia" w:ascii="Times New Roman" w:hAnsi="Times New Roman" w:eastAsia="宋体" w:cs="宋体"/>
                <w:color w:val="000000"/>
                <w:kern w:val="0"/>
                <w:sz w:val="21"/>
                <w:szCs w:val="21"/>
                <w:highlight w:val="none"/>
                <w:lang w:bidi="ar"/>
              </w:rPr>
              <w:t>临床量表评估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-儿童评估</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扩展</w:t>
            </w:r>
            <w:r>
              <w:rPr>
                <w:rFonts w:hint="eastAsia" w:ascii="Times New Roman" w:hAnsi="Times New Roman" w:eastAsia="宋体" w:cs="宋体"/>
                <w:color w:val="000000"/>
                <w:kern w:val="0"/>
                <w:sz w:val="21"/>
                <w:szCs w:val="21"/>
                <w:highlight w:val="none"/>
                <w:lang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基于专业评估人员协助儿童患者完成的临床量表，对患者生理或心理的功能状态形成评估结论。</w:t>
            </w:r>
          </w:p>
        </w:tc>
        <w:tc>
          <w:tcPr>
            <w:tcW w:w="3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rPr>
                <w:rFonts w:hint="eastAsia" w:ascii="Times New Roman" w:hAnsi="Times New Roman" w:eastAsia="宋体" w:cs="宋体"/>
                <w:color w:val="000000"/>
                <w:sz w:val="21"/>
                <w:szCs w:val="21"/>
                <w:highlight w:val="none"/>
              </w:rPr>
            </w:pPr>
          </w:p>
        </w:tc>
        <w:tc>
          <w:tcPr>
            <w:tcW w:w="2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次·日</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儿童评估均按</w:t>
            </w:r>
            <w:r>
              <w:rPr>
                <w:rFonts w:hint="eastAsia" w:ascii="Times New Roman" w:hAnsi="Times New Roman" w:eastAsia="宋体" w:cs="宋体"/>
                <w:color w:val="000000"/>
                <w:kern w:val="0"/>
                <w:sz w:val="21"/>
                <w:szCs w:val="21"/>
                <w:highlight w:val="none"/>
                <w:lang w:eastAsia="zh-CN" w:bidi="ar"/>
              </w:rPr>
              <w:t>“</w:t>
            </w:r>
            <w:r>
              <w:rPr>
                <w:rFonts w:hint="eastAsia" w:ascii="Times New Roman" w:hAnsi="Times New Roman" w:eastAsia="宋体" w:cs="宋体"/>
                <w:color w:val="000000"/>
                <w:kern w:val="0"/>
                <w:sz w:val="21"/>
                <w:szCs w:val="21"/>
                <w:highlight w:val="none"/>
                <w:lang w:bidi="ar"/>
              </w:rPr>
              <w:t>他评”及对应标准收费。</w:t>
            </w:r>
          </w:p>
        </w:tc>
        <w:tc>
          <w:tcPr>
            <w:tcW w:w="2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20.9</w:t>
            </w:r>
          </w:p>
        </w:tc>
        <w:tc>
          <w:tcPr>
            <w:tcW w:w="2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19</w:t>
            </w:r>
          </w:p>
        </w:tc>
        <w:tc>
          <w:tcPr>
            <w:tcW w:w="2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18.05</w:t>
            </w:r>
          </w:p>
        </w:tc>
        <w:tc>
          <w:tcPr>
            <w:tcW w:w="2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17.1</w:t>
            </w:r>
          </w:p>
        </w:tc>
        <w:tc>
          <w:tcPr>
            <w:tcW w:w="16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kern w:val="0"/>
                <w:sz w:val="21"/>
                <w:szCs w:val="21"/>
                <w:highlight w:val="none"/>
                <w:lang w:bidi="ar"/>
              </w:rPr>
            </w:pPr>
            <w:r>
              <w:rPr>
                <w:rFonts w:hint="eastAsia" w:ascii="Times New Roman" w:hAnsi="Times New Roman" w:eastAsia="宋体" w:cs="宋体"/>
                <w:color w:val="000000"/>
                <w:kern w:val="0"/>
                <w:sz w:val="21"/>
                <w:szCs w:val="21"/>
                <w:highlight w:val="none"/>
                <w:lang w:bidi="ar"/>
              </w:rPr>
              <w:t>甲类</w:t>
            </w:r>
          </w:p>
        </w:tc>
        <w:tc>
          <w:tcPr>
            <w:tcW w:w="2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kern w:val="0"/>
                <w:sz w:val="21"/>
                <w:szCs w:val="21"/>
                <w:highlight w:val="none"/>
                <w:lang w:bidi="ar"/>
              </w:rPr>
            </w:pPr>
          </w:p>
        </w:tc>
        <w:tc>
          <w:tcPr>
            <w:tcW w:w="3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bidi="ar"/>
              </w:rPr>
              <w:t>诊查费</w:t>
            </w:r>
          </w:p>
        </w:tc>
      </w:tr>
    </w:tbl>
    <w:p>
      <w:pPr>
        <w:rPr>
          <w:rFonts w:hint="eastAsia" w:ascii="方正仿宋_GB2312" w:hAnsi="方正仿宋_GB2312" w:eastAsia="方正仿宋_GB2312" w:cs="方正仿宋_GB2312"/>
          <w:color w:val="000000"/>
          <w:sz w:val="32"/>
          <w:szCs w:val="32"/>
          <w:lang w:bidi="ar"/>
        </w:rPr>
      </w:pPr>
    </w:p>
    <w:p>
      <w:pP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附件2</w:t>
      </w:r>
    </w:p>
    <w:p>
      <w:pPr>
        <w:widowControl/>
        <w:shd w:val="clear" w:color="auto" w:fill="FFFFFF"/>
        <w:spacing w:before="0" w:beforeAutospacing="0" w:after="0" w:afterAutospacing="0" w:line="600" w:lineRule="exact"/>
        <w:jc w:val="center"/>
        <w:rPr>
          <w:rFonts w:hint="eastAsia" w:ascii="方正小标宋_GBK" w:hAnsi="方正小标宋_GBK" w:eastAsia="方正小标宋_GBK" w:cs="方正小标宋_GBK"/>
          <w:color w:val="000000"/>
          <w:kern w:val="0"/>
          <w:sz w:val="44"/>
          <w:szCs w:val="44"/>
          <w:shd w:val="clear" w:color="auto" w:fill="FFFFFF"/>
          <w:lang w:val="en-US" w:eastAsia="zh-CN" w:bidi="ar-SA"/>
        </w:rPr>
      </w:pPr>
      <w:r>
        <w:rPr>
          <w:rFonts w:hint="eastAsia" w:ascii="方正小标宋_GBK" w:hAnsi="方正小标宋_GBK" w:eastAsia="方正小标宋_GBK" w:cs="方正小标宋_GBK"/>
          <w:color w:val="000000"/>
          <w:kern w:val="0"/>
          <w:sz w:val="44"/>
          <w:szCs w:val="44"/>
          <w:shd w:val="clear" w:color="auto" w:fill="FFFFFF"/>
          <w:lang w:val="en-US" w:eastAsia="zh-CN" w:bidi="ar-SA"/>
        </w:rPr>
        <w:t>停用部分医疗服务价格项目表</w:t>
      </w:r>
    </w:p>
    <w:tbl>
      <w:tblPr>
        <w:tblStyle w:val="8"/>
        <w:tblW w:w="5008" w:type="pct"/>
        <w:jc w:val="center"/>
        <w:tblLayout w:type="fixed"/>
        <w:tblCellMar>
          <w:top w:w="0" w:type="dxa"/>
          <w:left w:w="108" w:type="dxa"/>
          <w:bottom w:w="0" w:type="dxa"/>
          <w:right w:w="108" w:type="dxa"/>
        </w:tblCellMar>
      </w:tblPr>
      <w:tblGrid>
        <w:gridCol w:w="960"/>
        <w:gridCol w:w="1706"/>
        <w:gridCol w:w="6916"/>
        <w:gridCol w:w="3411"/>
      </w:tblGrid>
      <w:tr>
        <w:tblPrEx>
          <w:tblCellMar>
            <w:top w:w="0" w:type="dxa"/>
            <w:left w:w="108" w:type="dxa"/>
            <w:bottom w:w="0" w:type="dxa"/>
            <w:right w:w="108" w:type="dxa"/>
          </w:tblCellMar>
        </w:tblPrEx>
        <w:trPr>
          <w:trHeight w:val="23" w:hRule="atLeast"/>
          <w:tblHeader/>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kern w:val="0"/>
                <w:sz w:val="21"/>
                <w:szCs w:val="21"/>
                <w:lang w:bidi="ar"/>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kern w:val="0"/>
                <w:sz w:val="21"/>
                <w:szCs w:val="21"/>
                <w:lang w:bidi="ar"/>
              </w:rPr>
              <w:t>项目编码</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kern w:val="0"/>
                <w:sz w:val="21"/>
                <w:szCs w:val="21"/>
                <w:lang w:bidi="ar"/>
              </w:rPr>
              <w:t>项目名称</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黑体_GBK" w:hAnsi="方正黑体_GBK" w:eastAsia="方正黑体_GBK" w:cs="方正黑体_GBK"/>
                <w:b w:val="0"/>
                <w:bCs w:val="0"/>
                <w:color w:val="000000"/>
                <w:sz w:val="21"/>
                <w:szCs w:val="21"/>
              </w:rPr>
            </w:pPr>
            <w:r>
              <w:rPr>
                <w:rFonts w:hint="eastAsia" w:ascii="方正黑体_GBK" w:hAnsi="方正黑体_GBK" w:eastAsia="方正黑体_GBK" w:cs="方正黑体_GBK"/>
                <w:b w:val="0"/>
                <w:bCs w:val="0"/>
                <w:color w:val="000000"/>
                <w:kern w:val="0"/>
                <w:sz w:val="21"/>
                <w:szCs w:val="21"/>
                <w:lang w:bidi="ar"/>
              </w:rPr>
              <w:t>现行医保结算编码</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精神科A类量表测查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003115010010000-311501001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使用电脑自测的量表加收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003115010010001-311501001.01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宗</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Zung</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氏焦虑自评量表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003115010010100-311501001.10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311501001.20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宗</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Zung</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氏抑郁自评量表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003115010010200-311501001.20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311501001.30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汉密尔顿焦虑量表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003115010010300-311501001.30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311501001.40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汉密尔顿抑郁量表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003115010010400-311501001.40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311501001.50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艾森贝格</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Asberg</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抗抑郁剂副反应量表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003115010010500-311501001.50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311501001.60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躁狂状态评定量表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003115010010600-311501001.60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311501001.70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简明精神病评定量表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BPRS</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003115010010700-311501001.70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311501001.80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五分量表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003115010010800-311501001.80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311501001.90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临床总体印象量表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CGI</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003115010010900-311501001.90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药物副作用量表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003115010011000-311501001.a0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不自主运动评定量表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003115010011100-311501001.a1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迟发运动障碍评定量表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003115010011200-311501001.a2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锥体外系副作用量表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003115010011300-311501001.a3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气质量表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003115010011400-311501001.a4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艾森贝格行为量表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003115010011500-311501001.a5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常识注意测验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003115010011600-311501001.a6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311501001.a7</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简明心理状况测验</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MMSE</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003115010011700-311501001.a7</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311501001.a71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简明心理状况测验</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MMSE</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光电阅卷加收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003115010011700-311501001.a71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311501001.a8</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瞬时记忆测验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003115010011800-311501001.a8</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311501001.a9</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长谷川痴呆测验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003115010011900-311501001.a9</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认知方式测定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003115010012000-311501001.b0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小学生推理能力测定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003115010012100-311501001.b1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儿童内外控量表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003115010012200-311501001.b2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儿童孤独行为检查量表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003115010012300-311501001.b3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康奈氏</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Conners</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儿童行为量表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003115010012400-311501001.b4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阿成贝切</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Achenbach</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儿童行为量表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003115010012500-311501001.b5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311501001.b51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阿成贝切</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Achenbach</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儿童行为量表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光电阅卷加收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003115010012500-311501001.b51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注意广度测定表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003115010012600-311501001.b6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311501001.b7</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注意分配测定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003115010012700-311501001.b7</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311501001.b8</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短时记忆广度测定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003115010012800-311501001.b8</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311501001.b9</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瞬时记忆广度测定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003115010012900-311501001.b9</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检查空间位置记忆广度测定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003115010013000-311501001.c0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再认能力测定感统量表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003115010013100-311501001.c1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智力成就责任问卷</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003115010013300-311501001.c3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丹佛小儿智能发育筛查表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003115010013400-311501001.c4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比奈智力测定</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10岁以下</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003115010013500-311501001.c5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绘人智力测定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003115010013600-311501001.c6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311501001.c7</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思维型、艺术型测定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003115010010000-311501001.c7</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311501001.c8</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催眠感受性测定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003115010013700-311501001.c8</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311501001m1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贝克抑郁自评问卷</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BDI</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测评</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003115010010000-311501001m1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精神科B类量表测查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003115010020000-311501002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电脑自测量表加收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003115010020001-311501002.01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阳性和阴性精神症状评定</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PANSS</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003115010020100-311501002.10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311501002.20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慢性精神病标准化评定量表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003115010020200-311501002.20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311501002.30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紧张性生活事件评定量表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003115010020300-311501002.30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311501002.40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老年认知功能量表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SECC</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003115010020400-311501002.40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311501002.50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强迫症状问卷</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003115010020500-311501002.50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311501002.60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精神护理观察量表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003115010020600-311501002.60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311501002.70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社会功能缺陷筛选量表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003115010020700-311501002.70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311501002.80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标准化现状检查</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003115010020800-311501002.80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311501002.90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布雷德</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Bleied</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痴呆评定量表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003115010020900-311501002.90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艾森克人格测定</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少年版</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003115010021000-311501002.a0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简明智能测查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SM能力测查</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003115010021100-311501002.a1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图片词汇测验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003115010021200-311501002.a2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瑞文智力测定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003115010021300-311501002.a3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格式塔测验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003115010021400-311501002.a4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59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本顿视觉保持测定</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003115010021500-311501002.a5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各种个别能力测验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003115010021600-311501002.a6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311501002.a61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精神科B类量表测查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各种个别能力测验</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婴幼儿能力测定加收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003115010021600-311501002.a61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精神科C类量表测查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003115010030000-311501003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使用电脑自测的量表加收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003115010030001-311501003.01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阳性症状评定量表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SAPS</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003115010030100-311501003.10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311501003.20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阴性症状评定量表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SANS</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003115010030200-311501003.20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311501003.30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复合性国际诊断问卷</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CIDI</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003115010030300-311501003.30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311501003.40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现状精神病症状检查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PSE</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003115010030400-311501003.40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311501003.50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症状自评量表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003115010030500-311501003.50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69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311501003.51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症状自评量表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光电阅卷加收</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003115010030500-311501003.51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FAY04706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孤独症诊断访谈量表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ADI</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测评</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003115010012300-FAY04706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311501003.60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成人孤独症诊断量表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ADI</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003115010030600-311501003.60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311501003.70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成人韦氏记忆测验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003115010030700-311501003.70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311501003.80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临床记忆测验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003115010030800-311501003.80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311501003.90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韦氏智力测验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003115010030900-311501003.90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311501003.b0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儿童发育量表</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PEP</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003115010032000-311501003.b0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神经心理测验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003115010031000-311501003.a0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科赫</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Kohs</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立方体组合测验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003115010031100-311501003.a1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明尼苏达多相个性测验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003115010031200-311501003.a2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79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艾森克个性测验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003115010031300-311501003.a3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卡特尔16项人格测验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003115010031400-311501003.a4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十六种人格问卷</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003115010031500-311501003.a5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专家系统行为观察诊断量表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003115010031600-311501003.a6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311501003.a7</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808神经类型测验</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003115010031700-311501003.a7</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311501003.a8</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比奈智力测定</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10岁以上</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003115010031800-311501003.a8</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311501003.a9</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精神科C类量表测查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韦氏智力测定</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学前、学龄</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003115010031900-311501003.a9</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310403004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计算机嗓音疾病评估</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003104030040000-310403004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311502001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套瓦</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TOVA</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注意力竞量测试</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003115020010000-311502001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MAGGK001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吞咽功能障碍检查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003402000110000-MAGGK001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89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徒手平衡功能检查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003402000010000-340200001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340200005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手功能评定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003402000050000-340200005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340200006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疲劳度测定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003402000060000-340200006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MAGAZ001c</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言语失用检查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003402000080300-MAGAZ001c</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340200009</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失语症检查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003402000090000-340200009</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口吃检查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003402000100000-340200010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认知知觉功能检查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003402000120000-340200012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340200012.10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认知知觉功能检查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计算定向思维推理检查</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003402000120100-340200012.10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记忆力评定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003402000130000-340200013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340200013.10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lang w:eastAsia="zh-CN"/>
              </w:rPr>
            </w:pPr>
            <w:r>
              <w:rPr>
                <w:rFonts w:hint="eastAsia" w:ascii="Times New Roman" w:hAnsi="Times New Roman" w:eastAsia="宋体" w:cs="宋体"/>
                <w:color w:val="000000"/>
                <w:kern w:val="0"/>
                <w:sz w:val="21"/>
                <w:szCs w:val="21"/>
                <w:lang w:bidi="ar"/>
              </w:rPr>
              <w:t>记忆力评定</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成人记忆成套测试</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003402000130100-340200013.10</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99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失认失用评定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003402000140000-340200014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100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职业能力评定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003402000150000-340200015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101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340200016</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记忆广度检查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003402000160000-340200016</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102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340200019</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人体残伤测定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003402000190000-340200019</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103</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MABW6001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偏瘫肢体功能评定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kern w:val="0"/>
                <w:sz w:val="21"/>
                <w:szCs w:val="21"/>
                <w:lang w:bidi="ar"/>
              </w:rPr>
              <w:t>003402000400000-MABW6001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104</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311501001.c2</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eastAsia="zh-CN" w:bidi="ar"/>
              </w:rPr>
            </w:pPr>
            <w:r>
              <w:rPr>
                <w:rFonts w:hint="eastAsia" w:ascii="Times New Roman" w:hAnsi="Times New Roman" w:eastAsia="宋体" w:cs="宋体"/>
                <w:color w:val="000000"/>
                <w:kern w:val="0"/>
                <w:sz w:val="21"/>
                <w:szCs w:val="21"/>
                <w:lang w:bidi="ar"/>
              </w:rPr>
              <w:t>精神科A类量表测查</w:t>
            </w:r>
            <w:r>
              <w:rPr>
                <w:rFonts w:hint="eastAsia" w:ascii="Times New Roman" w:hAnsi="Times New Roman" w:eastAsia="宋体" w:cs="宋体"/>
                <w:color w:val="000000"/>
                <w:kern w:val="0"/>
                <w:sz w:val="21"/>
                <w:szCs w:val="21"/>
                <w:lang w:eastAsia="zh-CN" w:bidi="ar"/>
              </w:rPr>
              <w:t>（</w:t>
            </w:r>
            <w:r>
              <w:rPr>
                <w:rFonts w:hint="eastAsia" w:ascii="Times New Roman" w:hAnsi="Times New Roman" w:eastAsia="宋体" w:cs="宋体"/>
                <w:color w:val="000000"/>
                <w:kern w:val="0"/>
                <w:sz w:val="21"/>
                <w:szCs w:val="21"/>
                <w:lang w:bidi="ar"/>
              </w:rPr>
              <w:t>日常生活能力评定量表</w:t>
            </w:r>
            <w:r>
              <w:rPr>
                <w:rFonts w:hint="eastAsia" w:ascii="Times New Roman" w:hAnsi="Times New Roman" w:eastAsia="宋体" w:cs="宋体"/>
                <w:color w:val="000000"/>
                <w:kern w:val="0"/>
                <w:sz w:val="21"/>
                <w:szCs w:val="21"/>
                <w:lang w:eastAsia="zh-CN" w:bidi="ar"/>
              </w:rPr>
              <w:t>）</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003115010013200-311501001.c2</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105</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311202014</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新生儿量表检查</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003112020140000-311202014</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106</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MACZY001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跌倒风险评估</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503402000440000-MACZY001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107</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MAZZY001</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疼痛综合评定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003402000430000-MAZZY001</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108</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340200003</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日常生活能力评定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003402000030000-340200003</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109</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340200018</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肺功能康复评定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003402000180000-340200018</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110</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340200017</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心功能康复评定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003402000170000-340200017</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111</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311202015</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新生儿行为测定</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003112020150000-311202015</w:t>
            </w:r>
          </w:p>
        </w:tc>
      </w:tr>
      <w:tr>
        <w:tblPrEx>
          <w:tblCellMar>
            <w:top w:w="0" w:type="dxa"/>
            <w:left w:w="108" w:type="dxa"/>
            <w:bottom w:w="0" w:type="dxa"/>
            <w:right w:w="108" w:type="dxa"/>
          </w:tblCellMar>
        </w:tblPrEx>
        <w:trPr>
          <w:trHeight w:val="23" w:hRule="atLeast"/>
          <w:jc w:val="center"/>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112</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311202015.10</w:t>
            </w:r>
          </w:p>
        </w:tc>
        <w:tc>
          <w:tcPr>
            <w:tcW w:w="26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新生儿行为测定（神经反应测评）</w:t>
            </w: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003112020150100-311202015.01</w:t>
            </w:r>
          </w:p>
        </w:tc>
      </w:tr>
    </w:tbl>
    <w:p>
      <w:pPr>
        <w:rPr>
          <w:rFonts w:hint="eastAsia" w:ascii="方正仿宋_GB2312" w:hAnsi="方正仿宋_GB2312" w:eastAsia="方正仿宋_GB2312" w:cs="方正仿宋_GB2312"/>
          <w:vanish/>
          <w:sz w:val="32"/>
          <w:szCs w:val="32"/>
          <w:lang w:bidi="ar"/>
        </w:rPr>
      </w:pPr>
      <w:bookmarkStart w:id="1" w:name="_GoBack"/>
    </w:p>
    <w:p>
      <w:pPr>
        <w:rPr>
          <w:rFonts w:hint="eastAsia"/>
          <w:vanish/>
          <w:lang w:val="en-US" w:eastAsia="zh-CN"/>
        </w:rPr>
        <w:sectPr>
          <w:headerReference r:id="rId4" w:type="default"/>
          <w:footerReference r:id="rId5" w:type="default"/>
          <w:pgSz w:w="16838" w:h="11906" w:orient="landscape"/>
          <w:pgMar w:top="1587" w:right="2098" w:bottom="1474" w:left="1984" w:header="851" w:footer="992" w:gutter="0"/>
          <w:paperSrc/>
          <w:pgNumType w:fmt="numberInDash"/>
          <w:cols w:space="0" w:num="1"/>
          <w:rtlGutter w:val="0"/>
          <w:docGrid w:type="lines" w:linePitch="327"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pPr>
    </w:p>
    <w:bookmarkEnd w:id="1"/>
    <w:p>
      <w:pPr>
        <w:pStyle w:val="2"/>
        <w:rPr>
          <w:rFonts w:hint="eastAsia"/>
          <w:vanish/>
          <w:lang w:val="en-US" w:eastAsia="zh-CN"/>
        </w:rPr>
      </w:pPr>
    </w:p>
    <w:p>
      <w:pPr>
        <w:rPr>
          <w:rFonts w:hint="eastAsia"/>
          <w:vanish/>
          <w:lang w:val="en-US" w:eastAsia="zh-CN"/>
        </w:rPr>
        <w:sectPr>
          <w:pgSz w:w="16838" w:h="11906" w:orient="landscape"/>
          <w:pgMar w:top="1962" w:right="1474" w:bottom="1848" w:left="1587" w:header="851" w:footer="992" w:gutter="0"/>
          <w:paperSrc/>
          <w:pgNumType w:fmt="numberInDash"/>
          <w:cols w:space="0" w:num="1"/>
          <w:rtlGutter w:val="0"/>
          <w:docGrid w:type="lines" w:linePitch="327"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6838" w:h="11906" w:orient="landscape"/>
      <w:pgMar w:top="1587" w:right="2098" w:bottom="1474" w:left="1984"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9BB57"/>
    <w:multiLevelType w:val="singleLevel"/>
    <w:tmpl w:val="DAD9BB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3B932E8"/>
    <w:rsid w:val="161D4193"/>
    <w:rsid w:val="16D81DB6"/>
    <w:rsid w:val="174775C1"/>
    <w:rsid w:val="19F26BB1"/>
    <w:rsid w:val="1A7754F8"/>
    <w:rsid w:val="1B0753E2"/>
    <w:rsid w:val="1C03787B"/>
    <w:rsid w:val="1F66431E"/>
    <w:rsid w:val="1F6B6086"/>
    <w:rsid w:val="1FF2314D"/>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A681A91"/>
    <w:rsid w:val="3CC11305"/>
    <w:rsid w:val="3E8C7CCF"/>
    <w:rsid w:val="40671451"/>
    <w:rsid w:val="40CB1594"/>
    <w:rsid w:val="43350544"/>
    <w:rsid w:val="44897362"/>
    <w:rsid w:val="44BE37CF"/>
    <w:rsid w:val="45A537EA"/>
    <w:rsid w:val="464D005F"/>
    <w:rsid w:val="48572A95"/>
    <w:rsid w:val="4A280732"/>
    <w:rsid w:val="4A9F2515"/>
    <w:rsid w:val="4D3B4FB8"/>
    <w:rsid w:val="4E5F467B"/>
    <w:rsid w:val="53AD1103"/>
    <w:rsid w:val="546D5C10"/>
    <w:rsid w:val="54E36229"/>
    <w:rsid w:val="554B02CC"/>
    <w:rsid w:val="589B50B4"/>
    <w:rsid w:val="59312802"/>
    <w:rsid w:val="5BEE4C02"/>
    <w:rsid w:val="5F78236B"/>
    <w:rsid w:val="602461BE"/>
    <w:rsid w:val="60E9359A"/>
    <w:rsid w:val="6314426C"/>
    <w:rsid w:val="63936688"/>
    <w:rsid w:val="699A3F3C"/>
    <w:rsid w:val="6CF5407A"/>
    <w:rsid w:val="6FAC2205"/>
    <w:rsid w:val="75671C1B"/>
    <w:rsid w:val="7874644F"/>
    <w:rsid w:val="791E0F5E"/>
    <w:rsid w:val="7B1A16F5"/>
    <w:rsid w:val="7CCA039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2025-02-28T03:22:32Z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5215DA0353964A969DF74E1FC4AC6F5F</vt:lpwstr>
  </property>
</Properties>
</file>