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方正小标宋_GBK"/>
          <w:color w:val="000000"/>
          <w:sz w:val="44"/>
          <w:szCs w:val="44"/>
        </w:rPr>
      </w:pPr>
      <w:r>
        <w:rPr>
          <w:rFonts w:ascii="Times New Roman" w:hAnsi="Times New Roman" w:eastAsia="方正小标宋_GBK" w:cs="方正小标宋_GBK"/>
          <w:color w:val="000000"/>
          <w:sz w:val="44"/>
          <w:szCs w:val="44"/>
        </w:rPr>
        <w:t>重庆市医疗保障局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方正小标宋_GBK"/>
          <w:color w:val="000000"/>
          <w:sz w:val="44"/>
          <w:szCs w:val="44"/>
        </w:rPr>
      </w:pPr>
      <w:r>
        <w:rPr>
          <w:rFonts w:ascii="Times New Roman" w:hAnsi="Times New Roman" w:eastAsia="方正小标宋_GBK" w:cs="方正小标宋_GBK"/>
          <w:color w:val="000000"/>
          <w:sz w:val="44"/>
          <w:szCs w:val="44"/>
        </w:rPr>
        <w:t>关于</w:t>
      </w:r>
      <w:r>
        <w:rPr>
          <w:rFonts w:hint="eastAsia" w:ascii="Times New Roman" w:hAnsi="Times New Roman" w:eastAsia="方正小标宋_GBK" w:cs="方正小标宋_GBK"/>
          <w:color w:val="000000"/>
          <w:sz w:val="44"/>
          <w:szCs w:val="44"/>
          <w:lang w:eastAsia="zh-CN"/>
        </w:rPr>
        <w:t>规范</w:t>
      </w:r>
      <w:r>
        <w:rPr>
          <w:rFonts w:hint="eastAsia" w:ascii="Times New Roman" w:hAnsi="Times New Roman" w:eastAsia="方正小标宋_GBK" w:cs="方正小标宋_GBK"/>
          <w:color w:val="000000"/>
          <w:sz w:val="44"/>
          <w:szCs w:val="44"/>
        </w:rPr>
        <w:t>护理类</w:t>
      </w:r>
      <w:r>
        <w:rPr>
          <w:rFonts w:ascii="Times New Roman" w:hAnsi="Times New Roman" w:eastAsia="方正小标宋_GBK" w:cs="方正小标宋_GBK"/>
          <w:color w:val="000000"/>
          <w:sz w:val="44"/>
          <w:szCs w:val="44"/>
        </w:rPr>
        <w:t>医疗服务价格项目</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及医保支付政策</w:t>
      </w:r>
      <w:r>
        <w:rPr>
          <w:rFonts w:ascii="Times New Roman" w:hAnsi="Times New Roman" w:eastAsia="方正小标宋_GBK" w:cs="方正小标宋_GBK"/>
          <w:color w:val="000000"/>
          <w:sz w:val="44"/>
          <w:szCs w:val="44"/>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22</w:t>
      </w:r>
      <w:r>
        <w:rPr>
          <w:rFonts w:hint="eastAsia" w:ascii="Calibri" w:hAnsi="Calibri" w:eastAsia="方正仿宋_GBK" w:cs="方正仿宋_GBK"/>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left"/>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both"/>
        <w:textAlignment w:val="auto"/>
        <w:rPr>
          <w:rFonts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各区县（自治县）医保局，两江新区社会保障局、高新区政务服务和社会事务中心、万盛经开区人力社保局，各公立医疗机构、有关单位：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为深入贯彻落实《国务院办公厅关于加强护士队伍建设优化护理服务的指导意见》（国办发〔2024〕36号）精神，充分发挥价格调节作用，支持护理服务高质量发展，满足人民群众多元化护理服务需求，按照《国家医保局关于印发〈护理类医疗服务价格项目立项指南（试行）〉的通知》（医保价采函〔2024〕168</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0" w:firstLineChars="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0" w:firstLineChars="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号）要求，决定对我市护理类医疗服务价格项目进行规范并将部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分护理类医疗服务项目纳入基本医疗保险基金支付范围，现就有关事项通知如下。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黑体简体" w:cs="方正黑体简体"/>
          <w:color w:val="000000"/>
          <w:kern w:val="0"/>
          <w:sz w:val="32"/>
          <w:szCs w:val="32"/>
          <w:shd w:val="clear" w:color="auto" w:fill="FFFFFF"/>
          <w:lang w:val="en-US" w:eastAsia="zh-CN" w:bidi="ar-SA"/>
        </w:rPr>
      </w:pPr>
      <w:r>
        <w:rPr>
          <w:rFonts w:hint="eastAsia" w:ascii="Times New Roman" w:hAnsi="Times New Roman" w:eastAsia="方正黑体简体" w:cs="方正黑体简体"/>
          <w:color w:val="000000"/>
          <w:kern w:val="0"/>
          <w:sz w:val="32"/>
          <w:szCs w:val="32"/>
          <w:shd w:val="clear" w:color="auto" w:fill="FFFFFF"/>
          <w:lang w:val="en-US" w:eastAsia="zh-CN" w:bidi="ar-SA"/>
        </w:rPr>
        <w:t>一、规范护理类医疗服务价格项目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（一）落实《护理类医疗服务价格项目立项指南（试行）》，设立“特级护理”等22个主项目和6个加收项，按照分级护理、专科护理、专项护理分类设立医疗服务价格项目（详见附件1）。</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1．“分级护理”含一般传染病护理，纳入价格构成中，不再单独计费。“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2．当天转住院的，“急诊留观护理”与“分级护理”费用不得同时收取。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3．除项目有特殊规定不能同时收取外，专科护理可以与分级护理、专项护理同时收取。</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4．实施免陪照护服务收费政策。免陪照护服务是指患者住院期间医疗机构在提供特级或Ⅰ级护理服务的基础上，由护士或专业护理员承担的生活照料服务，无需患者家属或患者家庭自行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雇用护理员陪护。免陪照护服务由患者或患者家属知情同意后自</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主选择。患者家庭自行雇用护理员提供照护服务的，不属于医疗服务价格管理范畴，价格通过市场化方式形成。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（二）停用“特级护理”等107个医疗服务价格项目（详见附件2）。</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Times New Roman" w:hAnsi="Times New Roman" w:eastAsia="方正黑体简体" w:cs="方正黑体简体"/>
          <w:snapToGrid w:val="0"/>
          <w:color w:val="000000"/>
          <w:kern w:val="0"/>
          <w:sz w:val="32"/>
          <w:szCs w:val="32"/>
          <w:shd w:val="clear" w:color="auto" w:fill="FFFFFF"/>
          <w:lang w:val="en-US" w:eastAsia="zh-CN" w:bidi="ar-SA"/>
        </w:rPr>
      </w:pPr>
      <w:r>
        <w:rPr>
          <w:rFonts w:hint="eastAsia" w:ascii="Times New Roman" w:hAnsi="Times New Roman" w:eastAsia="方正黑体简体" w:cs="方正黑体简体"/>
          <w:snapToGrid w:val="0"/>
          <w:color w:val="000000"/>
          <w:kern w:val="0"/>
          <w:sz w:val="32"/>
          <w:szCs w:val="32"/>
          <w:shd w:val="clear" w:color="auto" w:fill="FFFFFF"/>
          <w:lang w:val="en-US" w:eastAsia="zh-CN" w:bidi="ar-SA"/>
        </w:rPr>
        <w:t>二、医保支付政策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综合考虑临床需要、基金支付能力和价格等因素，兼顾医保政策延续性，明确护理类医疗服务价格项目的医保支付政策（详见附件1）。</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Times New Roman" w:hAnsi="Times New Roman" w:eastAsia="方正黑体简体" w:cs="方正黑体简体"/>
          <w:snapToGrid w:val="0"/>
          <w:color w:val="000000"/>
          <w:kern w:val="0"/>
          <w:sz w:val="32"/>
          <w:szCs w:val="32"/>
          <w:shd w:val="clear" w:color="auto" w:fill="FFFFFF"/>
          <w:lang w:val="en-US" w:eastAsia="zh-CN" w:bidi="ar-SA"/>
        </w:rPr>
      </w:pPr>
      <w:r>
        <w:rPr>
          <w:rFonts w:hint="eastAsia" w:ascii="Times New Roman" w:hAnsi="Times New Roman" w:eastAsia="方正黑体简体" w:cs="方正黑体简体"/>
          <w:snapToGrid w:val="0"/>
          <w:color w:val="000000"/>
          <w:kern w:val="0"/>
          <w:sz w:val="32"/>
          <w:szCs w:val="32"/>
          <w:shd w:val="clear" w:color="auto" w:fill="FFFFFF"/>
          <w:lang w:val="en-US" w:eastAsia="zh-CN" w:bidi="ar-SA"/>
        </w:rPr>
        <w:t>三、有关要求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一）各医疗机构应按时做好医疗服务价格项目的相关调整工作，按照临床诊疗规范和价格政策规定向患者提供服务并收取费用，不得收取未列明的费用。各医疗机构要严格按规定执行明码标价和医疗费用明细清单制度，通过电子显示屏等多种方式向患者公示医疗服务价格，做好患者沟通解释工作，自觉接受社会监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（二）各区县医保部门要督促辖区内医疗机构执行规范后的医疗服务价格项目，做好宣传解释工作，加强调研和现场检查核查，确保政策执行不走样。遇有重大问题及时向市医保局反馈。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（三）本通知自2025年6月15日起执行。原政策文件与本通知不符的，以本通知为准。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 附件：1．重庆市护理类医疗服务价格项目表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1760" w:firstLineChars="55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default" w:ascii="Times New Roman" w:hAnsi="Times New Roman" w:eastAsia="方正仿宋_GBK" w:cs="方正仿宋_GBK"/>
          <w:snapToGrid w:val="0"/>
          <w:color w:val="000000"/>
          <w:kern w:val="0"/>
          <w:sz w:val="32"/>
          <w:szCs w:val="32"/>
          <w:shd w:val="clear" w:color="auto" w:fill="FFFFFF"/>
          <w:lang w:val="en-US" w:eastAsia="zh-CN" w:bidi="ar-SA"/>
        </w:rPr>
        <w:t>2</w:t>
      </w:r>
      <w:r>
        <w:rPr>
          <w:rFonts w:hint="eastAsia" w:ascii="Times New Roman" w:hAnsi="Times New Roman" w:eastAsia="方正仿宋_GBK" w:cs="方正仿宋_GBK"/>
          <w:snapToGrid w:val="0"/>
          <w:color w:val="000000"/>
          <w:kern w:val="0"/>
          <w:sz w:val="32"/>
          <w:szCs w:val="32"/>
          <w:shd w:val="clear" w:color="auto" w:fill="FFFFFF"/>
          <w:lang w:val="en-US" w:eastAsia="zh-CN" w:bidi="ar-SA"/>
        </w:rPr>
        <w:t>．停用部分医疗服务价格项目表</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  </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right="840" w:rightChars="400" w:firstLine="0" w:firstLineChars="0"/>
        <w:jc w:val="right"/>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重庆市医疗保障局</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right="840" w:rightChars="400" w:firstLine="0" w:firstLineChars="0"/>
        <w:jc w:val="center"/>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default" w:ascii="Times New Roman" w:hAnsi="Times New Roman" w:eastAsia="方正仿宋_GBK" w:cs="方正仿宋_GBK"/>
          <w:color w:val="000000"/>
          <w:kern w:val="0"/>
          <w:sz w:val="32"/>
          <w:szCs w:val="32"/>
          <w:shd w:val="clear" w:color="auto" w:fill="FFFFFF"/>
          <w:lang w:val="en-US" w:eastAsia="zh-CN" w:bidi="ar-SA"/>
        </w:rPr>
        <w:t xml:space="preserve">                                  </w:t>
      </w:r>
      <w:r>
        <w:rPr>
          <w:rFonts w:hint="eastAsia" w:ascii="Times New Roman" w:hAnsi="Times New Roman" w:eastAsia="方正仿宋_GBK" w:cs="方正仿宋_GBK"/>
          <w:color w:val="000000"/>
          <w:kern w:val="0"/>
          <w:sz w:val="32"/>
          <w:szCs w:val="32"/>
          <w:shd w:val="clear" w:color="auto" w:fill="FFFFFF"/>
          <w:lang w:val="en-US" w:eastAsia="zh-CN" w:bidi="ar-SA"/>
        </w:rPr>
        <w:t>2025年</w:t>
      </w:r>
      <w:r>
        <w:rPr>
          <w:rFonts w:hint="default" w:ascii="Times New Roman" w:hAnsi="Times New Roman" w:eastAsia="方正仿宋_GBK" w:cs="方正仿宋_GBK"/>
          <w:color w:val="000000"/>
          <w:kern w:val="0"/>
          <w:sz w:val="32"/>
          <w:szCs w:val="32"/>
          <w:shd w:val="clear" w:color="auto" w:fill="FFFFFF"/>
          <w:lang w:val="en-US" w:eastAsia="zh-CN" w:bidi="ar-SA"/>
        </w:rPr>
        <w:t>5</w:t>
      </w:r>
      <w:r>
        <w:rPr>
          <w:rFonts w:hint="eastAsia" w:ascii="Times New Roman" w:hAnsi="Times New Roman" w:eastAsia="方正仿宋_GBK" w:cs="方正仿宋_GBK"/>
          <w:color w:val="000000"/>
          <w:kern w:val="0"/>
          <w:sz w:val="32"/>
          <w:szCs w:val="32"/>
          <w:shd w:val="clear" w:color="auto" w:fill="FFFFFF"/>
          <w:lang w:val="en-US" w:eastAsia="zh-CN" w:bidi="ar-SA"/>
        </w:rPr>
        <w:t>月</w:t>
      </w:r>
      <w:r>
        <w:rPr>
          <w:rFonts w:hint="default" w:ascii="Times New Roman" w:hAnsi="Times New Roman" w:eastAsia="方正仿宋_GBK" w:cs="方正仿宋_GBK"/>
          <w:color w:val="000000"/>
          <w:kern w:val="0"/>
          <w:sz w:val="32"/>
          <w:szCs w:val="32"/>
          <w:shd w:val="clear" w:color="auto" w:fill="FFFFFF"/>
          <w:lang w:val="en-US" w:eastAsia="zh-CN" w:bidi="ar-SA"/>
        </w:rPr>
        <w:t>7</w:t>
      </w:r>
      <w:r>
        <w:rPr>
          <w:rFonts w:hint="eastAsia" w:ascii="Times New Roman" w:hAnsi="Times New Roman" w:eastAsia="方正仿宋_GBK" w:cs="方正仿宋_GBK"/>
          <w:color w:val="000000"/>
          <w:kern w:val="0"/>
          <w:sz w:val="32"/>
          <w:szCs w:val="32"/>
          <w:shd w:val="clear" w:color="auto" w:fill="FFFFFF"/>
          <w:lang w:val="en-US" w:eastAsia="zh-CN" w:bidi="ar-SA"/>
        </w:rPr>
        <w:t>日</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w:t>
      </w:r>
      <w:bookmarkStart w:id="0" w:name="公开发送"/>
      <w:r>
        <w:rPr>
          <w:rFonts w:hint="eastAsia" w:ascii="Times New Roman" w:hAnsi="Times New Roman" w:eastAsia="方正仿宋_GBK" w:cs="方正仿宋_GBK"/>
          <w:color w:val="000000"/>
          <w:kern w:val="0"/>
          <w:sz w:val="32"/>
          <w:szCs w:val="32"/>
          <w:shd w:val="clear" w:color="auto" w:fill="FFFFFF"/>
          <w:lang w:val="en-US" w:eastAsia="zh-CN" w:bidi="ar-SA"/>
        </w:rPr>
        <w:t>此件</w:t>
      </w:r>
      <w:bookmarkEnd w:id="0"/>
      <w:r>
        <w:rPr>
          <w:rFonts w:hint="eastAsia" w:ascii="Times New Roman" w:hAnsi="Times New Roman" w:eastAsia="方正仿宋_GBK" w:cs="方正仿宋_GBK"/>
          <w:color w:val="000000"/>
          <w:kern w:val="0"/>
          <w:sz w:val="32"/>
          <w:szCs w:val="32"/>
          <w:shd w:val="clear" w:color="auto" w:fill="FFFFFF"/>
          <w:lang w:val="en-US" w:eastAsia="zh-CN" w:bidi="ar-SA"/>
        </w:rPr>
        <w:t>公开发布）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spacing w:line="600" w:lineRule="exact"/>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r>
        <w:rPr>
          <w:rFonts w:hint="eastAsia" w:ascii="方正小标宋_GBK" w:hAnsi="方正小标宋_GBK" w:eastAsia="方正小标宋_GBK" w:cs="方正小标宋_GBK"/>
          <w:sz w:val="44"/>
          <w:szCs w:val="44"/>
        </w:rPr>
        <w:t>重庆市护理类医疗服务价格项目表</w:t>
      </w:r>
    </w:p>
    <w:tbl>
      <w:tblPr>
        <w:tblStyle w:val="8"/>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612"/>
        <w:gridCol w:w="1272"/>
        <w:gridCol w:w="1469"/>
        <w:gridCol w:w="1998"/>
        <w:gridCol w:w="579"/>
        <w:gridCol w:w="1510"/>
        <w:gridCol w:w="666"/>
        <w:gridCol w:w="696"/>
        <w:gridCol w:w="696"/>
        <w:gridCol w:w="977"/>
        <w:gridCol w:w="670"/>
        <w:gridCol w:w="582"/>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blHeader/>
        </w:trPr>
        <w:tc>
          <w:tcPr>
            <w:tcW w:w="2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序号</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项目编码</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项目名称</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服务产出</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价格构成</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计价单位</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计价说明</w:t>
            </w:r>
          </w:p>
        </w:tc>
        <w:tc>
          <w:tcPr>
            <w:tcW w:w="1076"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政府指导价 </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医保属性</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医保支付限制</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归集口径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blHeader/>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三级医院 </w:t>
            </w: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二级医院 </w:t>
            </w: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一级医院 </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其他医疗机构（含基层医疗机构）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0"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（三）护理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r>
              <w:rPr>
                <w:rFonts w:hint="eastAsia" w:ascii="Times New Roman" w:hAnsi="Times New Roman" w:eastAsia="宋体" w:cs="Times New Roman"/>
                <w:sz w:val="21"/>
                <w:szCs w:val="22"/>
              </w:rPr>
              <w:t>1.护理类医疗服务价格项目按照分级护理、专科护理、专项护理分类设立。医疗服务价格项目与操作步骤、诊疗部位等技术细节脱钩，增强现行价格项目对医疗技术和医疗活动改良创新的兼容性，对在操作层面存在差异，但在价格项目和定价水平层面具备合并同类项条件的护理类项目进行了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ascii="Times New Roman" w:hAnsi="Times New Roman" w:eastAsia="宋体" w:cs="Times New Roman"/>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2.医疗服务的政府指导价为最高限价，下浮不限；同时，医疗机构、医务人员实施护理过程中有关创新改良，采取“现有项目兼容”的方式简化处理，无需申报新增医疗服务价格项目，直接按照对应的整合项目执行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3.“价格构成”指项目价格应涵盖的各类资源消耗，用于确定计价单元的边界，是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4.“加收项”指同一项目以不同方式提供或在不同场景应用时，确有必要制定差异化收费标准而细分的一类子项，包括在原项目价格基础上增加或减少收费的情况。实际应用中，同时涉及多个加收项的，以各级医疗机构项目单价为基础计算相应的加/减收水平后，据实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5.“扩展项”指同一项目下以不同方式提供或在不同场景应用时，只扩展价格项目适用范围、不额外加价的一类子项，子项的价格按主项目执行。</w:t>
            </w:r>
          </w:p>
          <w:p>
            <w:pPr>
              <w:jc w:val="left"/>
              <w:rPr>
                <w:rFonts w:hint="eastAsia" w:ascii="Times New Roman" w:hAnsi="Times New Roman" w:eastAsia="宋体" w:cs="Times New Roman"/>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6.“基本物质资源消耗”指原则上限于不应或不必要与医疗服务项目分割的易耗品，包括但不限于各类消毒用品、储存用品、清洁用品、个人防护用品、标签、垃圾处理用品、冲洗液、润滑剂、压舌板、滑石粉、治疗巾</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单</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、棉球、棉签、纱布</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垫</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、普通绷带、固定带、治疗护理盘</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包</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、注射器、护</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尿</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垫、中单、冲洗工具、备皮工具、牙垫等。基本物质资源消耗成本计入项目价格，不另行收费。除基本物质资源消耗以外的其他耗材，按照实际采购价格零差率销售。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13532" w:type="dxa"/>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7.“分级护理”含一般传染病护理，纳入价格构成中，不再单独计费。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8.“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9.对“互联网+护理服务”不单设医疗服务价格项目，按照“上门服务费+护理项目价格”的方式计费。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10.涉及“包括……”“……等”的，属于开放型表述，所指对象不仅局限于表述中列明的事项，也包括未列明的同类事项。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11.“管·日”指每日每管，即按照每日实际护理管路数量计费。如一名患者既行尿管护理又行胃肠减压管路护理，可按照“引流管护理”×2的方式计费，并在医嘱中体现的，医疗机构可自行在收费单据中备注，方便患方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12.除项目有特殊规定不能同时收取外，专科护理可以与分级护理、专项护理同时收取。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13.“儿童”指6周岁及以下。周岁的计算方法以法律的相关规定为准。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0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Times New Roman" w:hAnsi="Times New Roman" w:eastAsia="宋体" w:cs="Times New Roman"/>
                <w:sz w:val="21"/>
                <w:szCs w:val="22"/>
              </w:rPr>
            </w:pPr>
          </w:p>
        </w:tc>
        <w:tc>
          <w:tcPr>
            <w:tcW w:w="4799" w:type="pct"/>
            <w:gridSpan w:val="1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14.计价单位为“日”的项目，入院当天按全天计算，12时以前出院的当天不予计算，12时到18时出院的按半天计算，18时以后出院的按全天计算。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00"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1.分级护理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特级护理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指为病情危重，随时可能发生病情变化需要进行监护、抢救的患者；各种复杂或大手术后、严重创伤或大面积烧伤的患者提供的相关护理。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011301000010001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特级护理-儿童（加收）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011301000020000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Ⅰ级护理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011301000020001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Ⅰ级护理-儿童（加收）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011301000030000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Ⅱ级护理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5"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011301000040000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Ⅲ级护理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指病情稳定或处于康复期，且自理能力轻度依赖或无依赖的患者提供的相关护理。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2.专科护理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急诊留观护理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指为需留在急诊进行观察的患者提供的相关护理。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当天转住院的，急诊留观与分级护理费用不得同时收取。</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011302000020000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重症监护护理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指在重症监护病房内，护理人员为重症监护患者提供的相关护理。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1.指在重症监护病房内实施的护理操作，不可与分级护理同时收费，可以与严密隔离护理/保护性隔离护理同时收费，不包含监测项目费用。2.转入重症监护病房后按“小时”收取重症监护护理费用，转入普通病房后，当日可按“日”收取分级护理费用。3.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011302000020001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重症监护护理-儿童（加收）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011302000030000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精神病人护理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指对精神病患者提供的护理。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8"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011302000040000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严密隔离护理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指对甲类、乙类传染病患者在严密隔离条件下提供的护理。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所定价格涵盖穿戴个人防护用品、标识、患者排出物消毒处理、生活垃圾及医疗垃圾处理、消毒及细菌采样等所需的人力资源和基本物质资源消耗。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default" w:ascii="Times New Roman" w:hAnsi="Times New Roman" w:eastAsia="宋体" w:cs="宋体"/>
                <w:i w:val="0"/>
                <w:iCs w:val="0"/>
                <w:color w:val="000000"/>
                <w:kern w:val="0"/>
                <w:sz w:val="18"/>
                <w:szCs w:val="18"/>
                <w:u w:val="none"/>
                <w:lang w:val="en-US" w:eastAsia="zh-CN" w:bidi="ar"/>
              </w:rPr>
              <w:t>1</w:t>
            </w:r>
            <w:r>
              <w:rPr>
                <w:rFonts w:hint="eastAsia" w:ascii="Times New Roman" w:hAnsi="Times New Roman" w:eastAsia="宋体" w:cs="宋体"/>
                <w:i w:val="0"/>
                <w:iCs w:val="0"/>
                <w:color w:val="000000"/>
                <w:kern w:val="0"/>
                <w:sz w:val="18"/>
                <w:szCs w:val="18"/>
                <w:u w:val="none"/>
                <w:lang w:val="en-US" w:eastAsia="zh-CN" w:bidi="ar"/>
              </w:rPr>
              <w:t>.严密隔离护理条件参照《全国医疗服务项目技术规范（2023年版）》。</w:t>
            </w:r>
          </w:p>
          <w:p>
            <w:pPr>
              <w:keepNext w:val="0"/>
              <w:keepLines w:val="0"/>
              <w:widowControl/>
              <w:numPr>
                <w:ilvl w:val="0"/>
                <w:numId w:val="0"/>
              </w:numPr>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011302000040001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严密隔离护理-儿童（加收）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011302000050000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保护性隔离护理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指对抵抗力低、极易感染患者在保护性隔离条件下的护理。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所定价格涵盖观察病情及生命体征、评估、评定、防护用品、消毒清洁及细菌采样等所需的人力资源和基本物质资源消耗。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1.保护性隔离条件参照《全国医疗服务项目技术规范（2023年版）》。2.儿童加收以各级医疗机构项目单价为基础加收20%。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011302000050001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保护性隔离护理-儿童（加收）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011302000060000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新生儿护理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指对从胎儿娩出、脐带结扎后至28天的婴儿进行的相关护理。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不与分级护理同时收取。</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011302000070000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早产儿护理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指对出生时胎龄小于37周，纠正胎龄至44周的早产儿进行的相关护理。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不与分级护理、重症监护护理同时收取。</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1303</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3.专项护理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口腔护理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指为高热、鼻饲、不能经口进食、人工气道等患者进行的口腔清洁护理。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已包含在特级护理、Ⅰ级护理及重症监护护理价格构成中，不得重复收取此项费用；在为患者提供Ⅱ级护理、Ⅲ级护理，且同时提供该专项护理的，可按“次”据实收费。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011303000020000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会阴护理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指为泌尿生殖系统感染、大小便失禁、会阴部皮肤破损、留置导尿、产后及各种会阴部术后的患者进行的会阴清洁护理。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所定价格涵盖评估病情、核对信息、排空膀胱、擦洗或冲洗会阴、尿管，处理用物，给予做好健康教育及心理护理等所需的人力资源和基本物质资源消耗。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已包含在特级护理、Ⅰ级护理及重症监护护理价格构成中，不得重复收取此项费用；在为患者提供Ⅱ级护理、Ⅲ级护理，且同时提供该专项护理的，可按“次”据实收费。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011303000030000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肛周护理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指为肛周脓肿、大便失禁等患者进行的肛周护理。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所定价格涵盖核对信息、准备、观察肛周皮肤黏膜、清洁，涂药或湿敷等所需的人力资源和基本物质资源消耗。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已包含在特级护理、Ⅰ级护理及重症监护护理价格构成中，不得重复收取此项费用；在为患者提供Ⅱ级护理、Ⅲ级护理，且同时提供该专项护理的，可按“次”据实收费。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011303000040000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置管护理（深静脉/动脉）</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对深静脉置管/动脉置管管路实施维护，使管路维持正常功能。</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所定价格涵盖导管状态评估、管路疏通、封管，必要时更换输液接头等所需的人力资源和基本物质资源消耗。不含创口换药。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1.深静脉置管包括中心静脉导管（CVC）、经外周静脉置入的中心静脉导管（PICC）、输液港（PORT）等。2.外周静脉置管护理含在注射费价格构成中，不单独计费</w:t>
            </w:r>
            <w:r>
              <w:rPr>
                <w:rFonts w:hint="eastAsia" w:ascii="Times New Roman" w:hAnsi="Times New Roman" w:eastAsia="宋体" w:cs="宋体"/>
                <w:i w:val="0"/>
                <w:iCs w:val="0"/>
                <w:color w:val="000000"/>
                <w:kern w:val="0"/>
                <w:sz w:val="13"/>
                <w:szCs w:val="13"/>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011303000050000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气管插管护理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对气管插管实施维护，维持正常通气功能。</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000000"/>
                <w:sz w:val="18"/>
                <w:szCs w:val="18"/>
                <w:u w:val="none"/>
                <w:lang w:eastAsia="zh-CN"/>
              </w:rPr>
            </w:pPr>
            <w:r>
              <w:rPr>
                <w:rFonts w:hint="eastAsia" w:ascii="Times New Roman" w:hAnsi="Times New Roman" w:eastAsia="宋体" w:cs="宋体"/>
                <w:i w:val="0"/>
                <w:iCs w:val="0"/>
                <w:color w:val="000000"/>
                <w:sz w:val="18"/>
                <w:szCs w:val="18"/>
                <w:u w:val="none"/>
                <w:lang w:eastAsia="zh-CN"/>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011303000060000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气管切开护理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对气管切开套管（含经皮气切插管）实施维护，维持正常通气功能。</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所定价格涵盖观察气切周围皮肤、套管取出清洁并消毒或更换套管、更换敷料及固定物，必要时行气道给药等所需的人力资源和基本物质资源消耗。不含吸痰</w:t>
            </w:r>
            <w:r>
              <w:rPr>
                <w:rFonts w:hint="eastAsia" w:ascii="Times New Roman" w:hAnsi="Times New Roman" w:eastAsia="宋体" w:cs="宋体"/>
                <w:i w:val="0"/>
                <w:iCs w:val="0"/>
                <w:color w:val="000000"/>
                <w:kern w:val="0"/>
                <w:sz w:val="15"/>
                <w:szCs w:val="15"/>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更换套管是置管的延伸服务，按照医生医嘱更换套管，可单独收取耗材费用。</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011303000070000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引流管护理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对各种引流管路（含尿管、胃肠减压管路等）实施维护，保持引流通畅。</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所定价格涵盖观察引流液性状及记量、检查引流管位置并固定、冲洗、更换引流袋等所需的人力资源和基本物质资源消耗。不含创口换药。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1.“管·日”指每日每管，即按照每日实际护理管路数量计费。2.闭式引流护理加收5元/管·日。</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011303000070001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引流管护理-闭式引流护理（加收）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“管·日”指每日每管，即按照每日实际护理管路数量计费。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011303000080000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肠内营养输注护理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指经鼻胃/肠管、造瘘等途径灌注药物或要素饮食的患者的护理。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8"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011303000090000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造口/造瘘护理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指对造口/造瘘实施维护，维持患者排泄通畅的护理。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每造口/每造瘘·日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18"/>
                <w:szCs w:val="18"/>
                <w:u w:val="singl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011303000100000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压力性损伤护理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指对有压力性损伤风险或已出现压力性损伤患者，实施预防或护理。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宋体" w:cs="宋体"/>
                <w:i w:val="0"/>
                <w:iCs w:val="0"/>
                <w:color w:val="000000"/>
                <w:sz w:val="20"/>
                <w:szCs w:val="20"/>
                <w:u w:val="none"/>
              </w:rPr>
            </w:pPr>
            <w:bookmarkStart w:id="2" w:name="_GoBack" w:colFirst="0" w:colLast="6"/>
            <w:r>
              <w:rPr>
                <w:rFonts w:hint="eastAsia" w:ascii="Times New Roman" w:hAnsi="Times New Roman" w:eastAsia="宋体" w:cs="宋体"/>
                <w:i w:val="0"/>
                <w:iCs w:val="0"/>
                <w:color w:val="000000"/>
                <w:kern w:val="0"/>
                <w:sz w:val="20"/>
                <w:szCs w:val="20"/>
                <w:u w:val="none"/>
                <w:lang w:val="en-US" w:eastAsia="zh-CN" w:bidi="ar"/>
              </w:rPr>
              <w:t>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011303000110000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免陪照护服务</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指公立医疗机构提供的服务事项，指在没有家属和护工参与的情况下，完全由护士、护理员承担患者全部生活护理。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所定价格涵盖生活照顾等所需的人力资源和基本物质资源消耗。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1.指在特级护理、I级护理服务的基础上同时开展免陪照护服务的，可在特级护理、I级护理收费的同时，收取该项目费用。本项目价格为一对多服务价格。2.一对二服务加收40元;一对一服务加收80元。3.免陪照护患者家庭根据自身需要自行雇佣护理员，通过市场化解决，不属于医疗服务价格项目管理范畴。</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100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29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501303000110001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免陪照护服务-一对二服务（加收）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lang w:val="en-US" w:eastAsia="zh-CN" w:bidi="ar"/>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501303000110002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免陪照护服务-一对一服务（加收）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lang w:val="en-US" w:eastAsia="zh-CN" w:bidi="ar"/>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护理费</w:t>
            </w:r>
          </w:p>
        </w:tc>
      </w:tr>
    </w:tbl>
    <w:p>
      <w:pPr>
        <w:spacing w:line="0" w:lineRule="atLeast"/>
        <w:jc w:val="left"/>
        <w:rPr>
          <w:rFonts w:hint="eastAsia" w:ascii="宋体" w:hAnsi="宋体" w:eastAsia="宋体" w:cs="宋体"/>
          <w:sz w:val="32"/>
          <w:szCs w:val="32"/>
        </w:rPr>
      </w:pPr>
    </w:p>
    <w:p>
      <w:pPr>
        <w:spacing w:line="0" w:lineRule="atLeast"/>
        <w:jc w:val="center"/>
        <w:rPr>
          <w:rFonts w:hint="eastAsia" w:ascii="宋体" w:hAnsi="宋体" w:cs="宋体"/>
          <w:sz w:val="32"/>
          <w:szCs w:val="32"/>
        </w:rPr>
        <w:sectPr>
          <w:pgSz w:w="16838" w:h="11906" w:orient="landscape"/>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00" w:lineRule="exact"/>
        <w:rPr>
          <w:rFonts w:hint="eastAsia" w:ascii="Times New Roman" w:hAnsi="Times New Roman" w:eastAsia="方正黑体_GBK" w:cs="方正黑体_GBK"/>
          <w:sz w:val="32"/>
          <w:szCs w:val="32"/>
          <w:lang w:eastAsia="zh-CN" w:bidi="ar"/>
        </w:rPr>
      </w:pPr>
      <w:r>
        <w:rPr>
          <w:rFonts w:hint="eastAsia" w:ascii="Times New Roman" w:hAnsi="Times New Roman" w:eastAsia="方正黑体_GBK" w:cs="方正黑体_GBK"/>
          <w:sz w:val="32"/>
          <w:szCs w:val="32"/>
          <w:lang w:bidi="ar"/>
        </w:rPr>
        <w:t>附件</w:t>
      </w:r>
      <w:r>
        <w:rPr>
          <w:rFonts w:hint="eastAsia" w:ascii="Times New Roman" w:hAnsi="Times New Roman" w:eastAsia="方正黑体_GBK" w:cs="方正黑体_GBK"/>
          <w:sz w:val="32"/>
          <w:szCs w:val="32"/>
          <w:lang w:val="en-US" w:eastAsia="zh-CN" w:bidi="ar"/>
        </w:rPr>
        <w:t>2</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color w:val="333333"/>
          <w:kern w:val="0"/>
          <w:sz w:val="44"/>
          <w:szCs w:val="44"/>
          <w:shd w:val="clear" w:color="auto" w:fill="FFFFFF"/>
          <w:lang w:val="en-US" w:eastAsia="zh-CN" w:bidi="ar-SA"/>
        </w:rPr>
      </w:pPr>
      <w:r>
        <w:rPr>
          <w:rFonts w:hint="eastAsia" w:ascii="方正小标宋_GBK" w:hAnsi="方正小标宋_GBK" w:eastAsia="方正小标宋_GBK" w:cs="方正小标宋_GBK"/>
          <w:color w:val="333333"/>
          <w:kern w:val="0"/>
          <w:sz w:val="44"/>
          <w:szCs w:val="44"/>
          <w:shd w:val="clear" w:color="auto" w:fill="FFFFFF"/>
          <w:lang w:val="en-US" w:eastAsia="zh-CN" w:bidi="ar-SA"/>
        </w:rPr>
        <w:t>停用部分医疗服务价格项目表</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515"/>
        <w:gridCol w:w="3275"/>
        <w:gridCol w:w="3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序号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项目编码</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项目名称</w:t>
            </w:r>
          </w:p>
        </w:tc>
        <w:tc>
          <w:tcPr>
            <w:tcW w:w="1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现行医保结算编码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1.分级护理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一般传染病护理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一般传染病护理（儿童加收）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001201000020000-120100002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ACAD0001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001201000020000-ACAD0001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001201000020000-120100002.01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ACAD0001.01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001201000020000-ACAD0001.01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一般专项护理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001201000140000-120100014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2.专项护理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120100014.30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床上洗发</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001201000140400-120100014.30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ABZE0001.20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001201000140400-ABZE0001.20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120100014.31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床上洗发（儿科加收）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001201000140400-120100014.31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ABZE0001.21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床上洗头（儿童加收）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001201000140400-ABZE0001.21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120100014.40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擦浴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001201000140300-120100014.40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120100014.41</w:t>
            </w:r>
          </w:p>
        </w:tc>
        <w:tc>
          <w:tcPr>
            <w:tcW w:w="180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擦浴（儿科加收）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001201000140300-120100014.41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ABZE0001.30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擦浴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001201000140300-ABZE0001.30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ABZE0001.31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擦浴（儿童加收）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001201000140300-ABZE0001.31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001201000140100-120100014.10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ACBH0001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001201000140100-ACBH0001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120100014.11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001201000140100-120100014.11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ACBH0001.01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001201000140100-ACBH0001.01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120100014.20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会阴冲（擦）洗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001201000140200-120100014.20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会阴擦洗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001201000140200-ABZE0001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120100014.21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会阴冲（擦）洗（儿科加收）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001201000140200-120100014.21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会阴擦洗（儿童加收）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001201000140200-ABZE0001.01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ACBM0001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肛周护理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001201000140000-ACBM0001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ACBM0001.01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肛周护理（儿童加收）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001201000140000-ACBM0001.01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ACAC0001.11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120100004</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001201000040000-120100004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ACAB0001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001201000040000-ACAB0001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120100004.01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001201000040000-120100004.01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ACAB0001.01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001201000040000-ACAB0001.01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120100005</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001201000050000-120100005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ACAA0001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001201000050000-ACAA0001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120100005.01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001201000050000-120100005.01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ACAA0001.01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001201000050000-ACAA0001.01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001201000010000-120100001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重症监护（不足12小时每小时收取）</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001201000010000-120100001.01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001201000010000-120100001.02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ABPA0001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急诊室重症监护</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001103000010000-ABPA0001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ABPA0001.01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急诊室重症监护（儿童加收）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001103000010000-ABPA0001.01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ABPA0001.02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急诊室重症监护不足12小时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001103000010100-ABPA0001.02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ABPB0001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001201000010000-ABPB0001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ABPB0001.01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001201000010000-ABPB0001.01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ABPB0001.02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重症监护不足12小时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001201000010000-ABPB0001.02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120100009</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001201000090000-120100009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ACBC0001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精神病人护理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001201000090000-ACBC0001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120100009.01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001201000090000-120100009.01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ACBC0001.01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精神病人护理（儿童加收）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001201000090000-ACBC0001.01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严密隔离护理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严密隔离护理（儿童加收）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120100006</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特殊疾病护理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001201000060000-120100006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120100006.01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特殊疾病护理（儿科加收）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001201000060000-120100006.01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保护性隔离护理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保护性隔离护理（儿童加收）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120100007</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001201000070000-120100007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新生儿特殊护理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001201000080000-120100008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新生儿干预</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001201000080100-120100008.10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120100008.20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新生儿抚触</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001201000080200-120100008.20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120100008.30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新生儿肛管排气</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001201000080300-120100008.30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120100008.40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新生儿呼吸道清理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001201000080400-120100008.40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120100008.50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新生儿药浴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001201000080500-120100008.50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120100008.60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新生儿油浴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001201000080600-120100008.60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动静脉置管护理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001201000130000-120100013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动静脉置管护理（儿科加收）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001201000130000-120100013.01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静脉置管护理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静脉置管护理（儿童加收）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动脉置管护理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动脉置管护理（儿童加收）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001201000100100-120100010.10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001201000100100-ACBJ0003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120100010.11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001201000100100-120100010.11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001201000100100-ACBJ0003.01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001201000100000-120100010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001201000100000-120100010.01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气管切开套管更换</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气管切开套管更换（儿童加收）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ACBK0001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001214000010000-ACBK0001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121400001a</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ACBK0001.01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001214000010000-ACBK0001.01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121400001a.01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001214000010000-121400001a.01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ACBK0001.02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持续引流管冲洗收取</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001214000010000-ACBK0001.02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121400001b</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引流管冲洗（持续性）</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121400001b.01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引流管冲洗（持续性）（儿科加收）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001214000010000-121400001b.01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ABZG0001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引流管更换</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001214000010001-ABZG0001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引流管冲洗（更换引流装置加收）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001214000010001-121400001.01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ABZG0001.01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引流管更换（儿童加收）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001214000010001-ABZG0001.01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121600001.02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导尿（更换普通引流袋）</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001216000010100-121600001.02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ABHA0002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导尿管留置</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001216000010100-ABHA0002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ABHA0002.01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导尿管留置（儿童加收）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001216000010100-ABHA0002.01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330703017.01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胸腔闭式引流术（更换一次性胸腔闭式引流瓶）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003307030170000-330703017.01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造瘘护理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001201000120000-120100012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ACBL0001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造口护理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001201000120000-ACBL0001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造瘘护理（儿科加收）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001201000120000-120100012.01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ACBL0001.01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造口护理（儿童加收）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001201000120000-ACBL0001.01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ACBN0001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压疮护理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001201000140000-ACBN0001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ACBN0001.01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压疮护理（儿童加收）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001201000140000-ACBN0001.01</w:t>
            </w:r>
          </w:p>
        </w:tc>
      </w:tr>
    </w:tbl>
    <w:p>
      <w:pPr>
        <w:widowControl w:val="0"/>
        <w:jc w:val="both"/>
        <w:rPr>
          <w:rFonts w:ascii="Times New Roman" w:hAnsi="Times New Roman" w:eastAsia="宋体" w:cs="Times New Roman"/>
          <w:vanish/>
          <w:kern w:val="2"/>
          <w:sz w:val="36"/>
          <w:szCs w:val="36"/>
          <w:lang w:val="en-US" w:eastAsia="zh-CN" w:bidi="ar-SA"/>
        </w:rPr>
      </w:pPr>
    </w:p>
    <w:p>
      <w:pPr>
        <w:rPr>
          <w:rFonts w:ascii="Times New Roman" w:hAnsi="Times New Roman" w:eastAsia="宋体" w:cs="Times New Roman"/>
          <w:vanish/>
          <w:sz w:val="21"/>
        </w:rPr>
      </w:pPr>
    </w:p>
    <w:p>
      <w:pPr>
        <w:rPr>
          <w:rFonts w:hint="eastAsia"/>
          <w:vanish/>
          <w:sz w:val="21"/>
          <w:lang w:val="en-US" w:eastAsia="zh-CN"/>
        </w:rPr>
        <w:sectPr>
          <w:footerReference r:id="rId5" w:type="default"/>
          <w:pgSz w:w="11906" w:h="16838"/>
          <w:pgMar w:top="2098" w:right="1474" w:bottom="1984" w:left="1587" w:header="851" w:footer="992" w:gutter="0"/>
          <w:pgNumType w:fmt="numberInDash"/>
          <w:cols w:space="0" w:num="1"/>
          <w:rtlGutter w:val="0"/>
          <w:docGrid w:type="lines" w:linePitch="312"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1906" w:h="16838"/>
          <w:pgMar w:top="2098" w:right="1474" w:bottom="1984" w:left="1587" w:header="851" w:footer="992" w:gutter="0"/>
          <w:pgNumType w:fmt="numberInDash"/>
          <w:cols w:space="0" w:num="1"/>
          <w:rtlGutter w:val="0"/>
          <w:docGrid w:type="lines" w:linePitch="313" w:charSpace="0"/>
        </w:sectPr>
      </w:pPr>
    </w:p>
    <w:p>
      <w:pPr>
        <w:pStyle w:val="2"/>
        <w:rPr>
          <w:rFonts w:hint="eastAsia"/>
          <w:vanish/>
          <w:lang w:val="en-US" w:eastAsia="zh-CN"/>
        </w:rPr>
        <w:sectPr>
          <w:pgSz w:w="11906" w:h="16838"/>
          <w:pgMar w:top="1474" w:right="1984" w:bottom="1587" w:left="2098" w:header="851" w:footer="992" w:gutter="0"/>
          <w:pgNumType w:fmt="numberInDash"/>
          <w:cols w:space="0" w:num="1"/>
          <w:rtlGutter w:val="0"/>
          <w:docGrid w:type="lines" w:linePitch="313"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474" w:right="1984" w:bottom="1587" w:left="2098"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3011805</wp:posOffset>
              </wp:positionV>
              <wp:extent cx="27876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8765"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37.15pt;height:144pt;width:21.95pt;mso-position-horizontal-relative:margin;z-index:251662336;mso-width-relative:page;mso-height-relative:page;" filled="f" stroked="f" coordsize="21600,21600" o:gfxdata="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MqEw1wAAAAcBAAAPAAAAAAAAAAEAIAAAACIAAABk&#10;cnMvZG93bnJldi54bWxQSwECFAAUAAAACACHTuJAXgHWTkACAABwBAAADgAAAAAAAAABACAAAAAm&#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136525</wp:posOffset>
              </wp:positionV>
              <wp:extent cx="5616575" cy="1905"/>
              <wp:effectExtent l="0" t="10795" r="6985" b="17780"/>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3360;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jNpwPu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4343F9C"/>
    <w:rsid w:val="169C21F2"/>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806076"/>
    <w:rsid w:val="369E4EAA"/>
    <w:rsid w:val="3CC11305"/>
    <w:rsid w:val="3E8C7CCF"/>
    <w:rsid w:val="3FBA347C"/>
    <w:rsid w:val="40CB1594"/>
    <w:rsid w:val="43350544"/>
    <w:rsid w:val="43C05462"/>
    <w:rsid w:val="44897362"/>
    <w:rsid w:val="44BE37CF"/>
    <w:rsid w:val="45A537EA"/>
    <w:rsid w:val="464D005F"/>
    <w:rsid w:val="48720A8D"/>
    <w:rsid w:val="4A280732"/>
    <w:rsid w:val="4A9F2515"/>
    <w:rsid w:val="4D3B4FB8"/>
    <w:rsid w:val="4E5F467B"/>
    <w:rsid w:val="4EF53B10"/>
    <w:rsid w:val="53AD1103"/>
    <w:rsid w:val="54E36229"/>
    <w:rsid w:val="554B02CC"/>
    <w:rsid w:val="580C22FF"/>
    <w:rsid w:val="58725B91"/>
    <w:rsid w:val="589B50B4"/>
    <w:rsid w:val="59312802"/>
    <w:rsid w:val="5BEE4C02"/>
    <w:rsid w:val="5BFF151F"/>
    <w:rsid w:val="5F78236B"/>
    <w:rsid w:val="602461BE"/>
    <w:rsid w:val="6314426C"/>
    <w:rsid w:val="67951754"/>
    <w:rsid w:val="699A3F3C"/>
    <w:rsid w:val="6CDF7866"/>
    <w:rsid w:val="6CF5407A"/>
    <w:rsid w:val="6FAC2205"/>
    <w:rsid w:val="7874644F"/>
    <w:rsid w:val="791E0F5E"/>
    <w:rsid w:val="7A9755C4"/>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2</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2025-05-14T01:11:27Z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E218D8D99AB84971A69214555148B9C0</vt:lpwstr>
  </property>
</Properties>
</file>