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w w:val="40"/>
          <w:sz w:val="40"/>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spacing w:line="560" w:lineRule="exact"/>
        <w:jc w:val="left"/>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_GBK" w:cs="方正小标宋_GBK"/>
          <w:b w:val="0"/>
          <w:bCs w:val="0"/>
          <w:sz w:val="44"/>
          <w:szCs w:val="44"/>
          <w:highlight w:val="none"/>
          <w:lang w:eastAsia="zh-CN"/>
        </w:rPr>
      </w:pPr>
      <w:r>
        <w:rPr>
          <w:rFonts w:hint="eastAsia" w:ascii="Times New Roman" w:hAnsi="Times New Roman" w:eastAsia="方正小标宋_GBK" w:cs="方正小标宋_GBK"/>
          <w:b w:val="0"/>
          <w:bCs w:val="0"/>
          <w:sz w:val="44"/>
          <w:szCs w:val="44"/>
          <w:highlight w:val="none"/>
          <w:lang w:eastAsia="zh-CN"/>
        </w:rPr>
        <w:t>重庆市医疗保障局关于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_GBK" w:cs="方正小标宋_GBK"/>
          <w:b w:val="0"/>
          <w:bCs w:val="0"/>
          <w:sz w:val="44"/>
          <w:szCs w:val="44"/>
          <w:highlight w:val="none"/>
          <w:lang w:eastAsia="zh-CN"/>
        </w:rPr>
      </w:pPr>
      <w:r>
        <w:rPr>
          <w:rFonts w:hint="eastAsia" w:ascii="Times New Roman" w:hAnsi="Times New Roman" w:eastAsia="方正小标宋_GBK" w:cs="方正小标宋_GBK"/>
          <w:b w:val="0"/>
          <w:bCs w:val="0"/>
          <w:sz w:val="44"/>
          <w:szCs w:val="44"/>
          <w:highlight w:val="none"/>
          <w:lang w:eastAsia="zh-CN"/>
        </w:rPr>
        <w:t>优化长期护理保险失能等级评估和护理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_GBK" w:cs="方正小标宋_GBK"/>
          <w:b w:val="0"/>
          <w:bCs w:val="0"/>
          <w:sz w:val="44"/>
          <w:szCs w:val="44"/>
          <w:highlight w:val="none"/>
          <w:lang w:eastAsia="zh-CN"/>
        </w:rPr>
      </w:pPr>
      <w:r>
        <w:rPr>
          <w:rFonts w:hint="eastAsia" w:ascii="Times New Roman" w:hAnsi="Times New Roman" w:eastAsia="方正小标宋_GBK" w:cs="方正小标宋_GBK"/>
          <w:b w:val="0"/>
          <w:bCs w:val="0"/>
          <w:sz w:val="44"/>
          <w:szCs w:val="44"/>
          <w:highlight w:val="none"/>
          <w:lang w:eastAsia="zh-CN"/>
        </w:rPr>
        <w:t>项目有关内容的通知</w:t>
      </w:r>
    </w:p>
    <w:p>
      <w:pPr>
        <w:jc w:val="center"/>
        <w:rPr>
          <w:rFonts w:ascii="Calibri" w:hAnsi="Calibri" w:eastAsia="方正仿宋_GBK" w:cs="方正仿宋_GBK"/>
          <w:sz w:val="32"/>
          <w:szCs w:val="32"/>
        </w:rPr>
      </w:pPr>
      <w:r>
        <w:rPr>
          <w:rFonts w:hint="eastAsia" w:ascii="Calibri" w:hAnsi="Calibri" w:eastAsia="方正仿宋_GBK" w:cs="方正仿宋_GBK"/>
          <w:sz w:val="32"/>
          <w:szCs w:val="32"/>
        </w:rPr>
        <w:t>渝医保发〔</w:t>
      </w:r>
      <w:r>
        <w:rPr>
          <w:rFonts w:ascii="Times New Roman" w:hAnsi="Times New Roman" w:eastAsia="方正仿宋_GBK" w:cs="Times New Roman"/>
          <w:sz w:val="32"/>
          <w:szCs w:val="32"/>
        </w:rPr>
        <w:t>2025</w:t>
      </w:r>
      <w:r>
        <w:rPr>
          <w:rFonts w:hint="eastAsia" w:ascii="Calibri" w:hAnsi="Calibri" w:eastAsia="方正仿宋_GBK" w:cs="方正仿宋_GBK"/>
          <w:sz w:val="32"/>
          <w:szCs w:val="32"/>
        </w:rPr>
        <w:t>〕</w:t>
      </w:r>
      <w:r>
        <w:rPr>
          <w:rFonts w:ascii="Times New Roman" w:hAnsi="Times New Roman" w:eastAsia="方正仿宋_GBK" w:cs="Times New Roman"/>
          <w:sz w:val="32"/>
          <w:szCs w:val="32"/>
        </w:rPr>
        <w:t>20</w:t>
      </w:r>
      <w:r>
        <w:rPr>
          <w:rFonts w:hint="eastAsia" w:ascii="Calibri" w:hAnsi="Calibri"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Times New Roman" w:hAnsi="Times New Roman" w:eastAsia="方正仿宋_GBK" w:cs="方正仿宋_GBK"/>
          <w:b w:val="0"/>
          <w:bCs w:val="0"/>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640" w:lineRule="exact"/>
        <w:jc w:val="both"/>
        <w:textAlignment w:val="auto"/>
        <w:rPr>
          <w:rFonts w:hint="eastAsia" w:ascii="Times New Roman" w:hAnsi="Times New Roman" w:eastAsia="方正仿宋_GBK" w:cs="方正仿宋_GBK"/>
          <w:b w:val="0"/>
          <w:bCs w:val="0"/>
          <w:color w:val="000000"/>
          <w:w w:val="99"/>
          <w:sz w:val="32"/>
          <w:szCs w:val="32"/>
          <w:highlight w:val="none"/>
        </w:rPr>
      </w:pPr>
      <w:r>
        <w:rPr>
          <w:rFonts w:hint="eastAsia" w:ascii="Times New Roman" w:hAnsi="Times New Roman" w:eastAsia="方正仿宋_GBK" w:cs="方正仿宋_GBK"/>
          <w:b w:val="0"/>
          <w:bCs w:val="0"/>
          <w:color w:val="000000"/>
          <w:w w:val="99"/>
          <w:sz w:val="32"/>
          <w:szCs w:val="32"/>
          <w:highlight w:val="none"/>
        </w:rPr>
        <w:t>各区县（自治县）医疗保障局，</w:t>
      </w:r>
      <w:r>
        <w:rPr>
          <w:rFonts w:hint="eastAsia" w:ascii="Times New Roman" w:hAnsi="Times New Roman" w:eastAsia="方正仿宋_GBK" w:cs="方正仿宋_GBK"/>
          <w:b w:val="0"/>
          <w:bCs w:val="0"/>
          <w:color w:val="000000"/>
          <w:w w:val="99"/>
          <w:kern w:val="0"/>
          <w:sz w:val="32"/>
          <w:szCs w:val="32"/>
          <w:highlight w:val="none"/>
        </w:rPr>
        <w:t>两江新区社会保障局、高新区政务服务和社会事务中心、万盛经开区人力社保局</w:t>
      </w:r>
      <w:r>
        <w:rPr>
          <w:rFonts w:hint="eastAsia" w:ascii="Times New Roman" w:hAnsi="Times New Roman" w:eastAsia="方正仿宋_GBK" w:cs="方正仿宋_GBK"/>
          <w:b w:val="0"/>
          <w:bCs w:val="0"/>
          <w:color w:val="000000"/>
          <w:w w:val="99"/>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方正仿宋_GBK" w:cs="方正仿宋_GBK"/>
          <w:b w:val="0"/>
          <w:bCs w:val="0"/>
          <w:color w:val="000000"/>
          <w:sz w:val="32"/>
          <w:szCs w:val="32"/>
          <w:highlight w:val="none"/>
          <w:lang w:eastAsia="zh-CN"/>
        </w:rPr>
      </w:pPr>
      <w:r>
        <w:rPr>
          <w:rFonts w:hint="eastAsia" w:ascii="Times New Roman" w:hAnsi="Times New Roman" w:eastAsia="方正仿宋_GBK" w:cs="方正仿宋_GBK"/>
          <w:b w:val="0"/>
          <w:bCs w:val="0"/>
          <w:color w:val="000000"/>
          <w:sz w:val="32"/>
          <w:szCs w:val="32"/>
          <w:highlight w:val="none"/>
          <w:lang w:eastAsia="zh-CN"/>
        </w:rPr>
        <w:t>为进一步完善长期护理保险制度，</w:t>
      </w:r>
      <w:r>
        <w:rPr>
          <w:rFonts w:hint="eastAsia" w:ascii="Times New Roman" w:hAnsi="Times New Roman" w:eastAsia="方正仿宋_GBK" w:cs="方正仿宋_GBK"/>
          <w:b w:val="0"/>
          <w:bCs w:val="0"/>
          <w:color w:val="000000"/>
          <w:sz w:val="32"/>
          <w:szCs w:val="32"/>
          <w:highlight w:val="none"/>
        </w:rPr>
        <w:t>根据《国家医保局财政部关于扩大长期护理保险制度试点的指导意见》（医保发〔2020〕37号）和《国家医保局财政部关于印发〈长期护理保险失能等级评估管理办法（试行）〉的通知》（医保发〔2023〕29号）精神</w:t>
      </w:r>
      <w:r>
        <w:rPr>
          <w:rFonts w:hint="eastAsia" w:ascii="Times New Roman" w:hAnsi="Times New Roman" w:eastAsia="方正仿宋_GBK" w:cs="方正仿宋_GBK"/>
          <w:b w:val="0"/>
          <w:bCs w:val="0"/>
          <w:color w:val="000000"/>
          <w:sz w:val="32"/>
          <w:szCs w:val="32"/>
          <w:highlight w:val="none"/>
          <w:lang w:eastAsia="zh-CN"/>
        </w:rPr>
        <w:t>，现将优化我市长期护理保险失能等级评估和护理项目有关事宜通知如下。</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40" w:lineRule="exact"/>
        <w:ind w:firstLine="640" w:firstLineChars="200"/>
        <w:jc w:val="both"/>
        <w:textAlignment w:val="auto"/>
        <w:rPr>
          <w:rFonts w:hint="eastAsia" w:ascii="Times New Roman" w:hAnsi="Times New Roman" w:eastAsia="方正黑体_GBK" w:cs="方正黑体_GBK"/>
          <w:color w:val="000000"/>
          <w:kern w:val="0"/>
          <w:sz w:val="32"/>
          <w:szCs w:val="32"/>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80" w:lineRule="exact"/>
        <w:ind w:firstLine="640" w:firstLineChars="200"/>
        <w:jc w:val="both"/>
        <w:textAlignment w:val="auto"/>
        <w:rPr>
          <w:rFonts w:hint="eastAsia" w:ascii="Times New Roman" w:hAnsi="Times New Roman" w:eastAsia="方正黑体_GBK" w:cs="方正黑体_GBK"/>
          <w:b w:val="0"/>
          <w:bCs w:val="0"/>
          <w:color w:val="000000"/>
          <w:sz w:val="32"/>
          <w:szCs w:val="32"/>
          <w:highlight w:val="none"/>
          <w:lang w:eastAsia="zh-CN"/>
        </w:rPr>
      </w:pPr>
      <w:r>
        <w:rPr>
          <w:rFonts w:hint="eastAsia" w:ascii="Times New Roman" w:hAnsi="Times New Roman" w:eastAsia="方正黑体_GBK" w:cs="方正黑体_GBK"/>
          <w:b w:val="0"/>
          <w:bCs w:val="0"/>
          <w:color w:val="000000"/>
          <w:sz w:val="32"/>
          <w:szCs w:val="32"/>
          <w:highlight w:val="none"/>
          <w:lang w:eastAsia="zh-CN"/>
        </w:rPr>
        <w:t>一、失能等级评估</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80" w:lineRule="exact"/>
        <w:ind w:left="0" w:right="0" w:firstLine="640" w:firstLineChars="200"/>
        <w:jc w:val="both"/>
        <w:textAlignment w:val="auto"/>
        <w:rPr>
          <w:rFonts w:hint="eastAsia" w:ascii="Times New Roman" w:hAnsi="Times New Roman" w:eastAsia="方正仿宋_GBK" w:cs="方正仿宋_GBK"/>
          <w:b w:val="0"/>
          <w:bCs w:val="0"/>
          <w:color w:val="000000"/>
          <w:kern w:val="2"/>
          <w:sz w:val="32"/>
          <w:szCs w:val="32"/>
          <w:highlight w:val="none"/>
          <w:lang w:val="en-US" w:eastAsia="zh-CN" w:bidi="ar-SA"/>
        </w:rPr>
      </w:pPr>
      <w:r>
        <w:rPr>
          <w:rFonts w:hint="eastAsia" w:ascii="Times New Roman" w:hAnsi="Times New Roman" w:eastAsia="方正楷体_GBK" w:cs="方正楷体_GBK"/>
          <w:b w:val="0"/>
          <w:bCs w:val="0"/>
          <w:color w:val="000000"/>
          <w:kern w:val="2"/>
          <w:sz w:val="32"/>
          <w:szCs w:val="32"/>
          <w:highlight w:val="none"/>
          <w:lang w:val="en-US" w:eastAsia="zh-CN" w:bidi="ar-SA"/>
        </w:rPr>
        <w:t>（一）规范现场评估和集中评估。</w:t>
      </w:r>
      <w:r>
        <w:rPr>
          <w:rFonts w:hint="eastAsia" w:ascii="Times New Roman" w:hAnsi="Times New Roman" w:eastAsia="方正仿宋_GBK" w:cs="方正仿宋_GBK"/>
          <w:b w:val="0"/>
          <w:bCs w:val="0"/>
          <w:color w:val="000000"/>
          <w:kern w:val="0"/>
          <w:sz w:val="32"/>
          <w:szCs w:val="32"/>
          <w:highlight w:val="none"/>
          <w:lang w:val="en-US" w:eastAsia="zh-CN" w:bidi="ar"/>
        </w:rPr>
        <w:t>现场评估及信息采集工作由至少2名评估人员进行，</w:t>
      </w:r>
      <w:r>
        <w:rPr>
          <w:rFonts w:hint="eastAsia" w:ascii="Times New Roman" w:hAnsi="Times New Roman" w:eastAsia="方正仿宋_GBK" w:cs="方正仿宋_GBK"/>
          <w:b w:val="0"/>
          <w:bCs w:val="0"/>
          <w:color w:val="000000"/>
          <w:kern w:val="2"/>
          <w:sz w:val="32"/>
          <w:szCs w:val="32"/>
          <w:highlight w:val="none"/>
          <w:lang w:val="en-US" w:eastAsia="zh-CN" w:bidi="ar-SA"/>
        </w:rPr>
        <w:t>其中至少有1名评估专家（暂不具备条件的地区在本通知实施之日起1年内逐步实现）。</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80" w:lineRule="exact"/>
        <w:ind w:left="0" w:right="0" w:firstLine="640" w:firstLineChars="200"/>
        <w:jc w:val="both"/>
        <w:textAlignment w:val="auto"/>
        <w:rPr>
          <w:rFonts w:hint="eastAsia" w:ascii="Times New Roman" w:hAnsi="Times New Roman" w:eastAsia="方正仿宋_GBK" w:cs="方正仿宋_GBK"/>
          <w:b w:val="0"/>
          <w:bCs w:val="0"/>
          <w:color w:val="000000"/>
          <w:kern w:val="2"/>
          <w:sz w:val="32"/>
          <w:szCs w:val="32"/>
          <w:highlight w:val="none"/>
          <w:lang w:val="en-US" w:eastAsia="zh-CN" w:bidi="ar-SA"/>
        </w:rPr>
      </w:pPr>
      <w:r>
        <w:rPr>
          <w:rFonts w:hint="eastAsia" w:ascii="Times New Roman" w:hAnsi="Times New Roman" w:eastAsia="方正仿宋_GBK" w:cs="方正仿宋_GBK"/>
          <w:b w:val="0"/>
          <w:bCs w:val="0"/>
          <w:i w:val="0"/>
          <w:iCs w:val="0"/>
          <w:caps w:val="0"/>
          <w:color w:val="000000"/>
          <w:spacing w:val="0"/>
          <w:kern w:val="0"/>
          <w:sz w:val="32"/>
          <w:szCs w:val="32"/>
          <w:highlight w:val="none"/>
          <w:shd w:val="clear" w:color="auto" w:fill="FFFFFF"/>
          <w:lang w:val="en-US" w:eastAsia="zh-CN" w:bidi="ar"/>
        </w:rPr>
        <w:t>现场评估人员可直接提出评估结论的，由现场评估人员提出评估结论。现场评估人员不能直接提出评估结论的，由失能评估机构</w:t>
      </w:r>
      <w:r>
        <w:rPr>
          <w:rFonts w:hint="eastAsia" w:ascii="Times New Roman" w:hAnsi="Times New Roman" w:eastAsia="方正仿宋_GBK" w:cs="方正仿宋_GBK"/>
          <w:b w:val="0"/>
          <w:bCs w:val="0"/>
          <w:color w:val="000000"/>
          <w:kern w:val="0"/>
          <w:sz w:val="32"/>
          <w:szCs w:val="32"/>
          <w:highlight w:val="none"/>
          <w:lang w:val="en-US" w:eastAsia="zh-CN" w:bidi="ar"/>
        </w:rPr>
        <w:t>按月组织评估专家集中进行失能等级评估</w:t>
      </w:r>
      <w:r>
        <w:rPr>
          <w:rFonts w:hint="eastAsia" w:ascii="Times New Roman" w:hAnsi="Times New Roman" w:eastAsia="方正仿宋_GBK" w:cs="方正仿宋_GBK"/>
          <w:b w:val="0"/>
          <w:bCs w:val="0"/>
          <w:i w:val="0"/>
          <w:iCs w:val="0"/>
          <w:caps w:val="0"/>
          <w:color w:val="000000"/>
          <w:spacing w:val="0"/>
          <w:kern w:val="0"/>
          <w:sz w:val="32"/>
          <w:szCs w:val="32"/>
          <w:highlight w:val="none"/>
          <w:shd w:val="clear" w:color="auto" w:fill="FFFFFF"/>
          <w:lang w:val="en-US" w:eastAsia="zh-CN" w:bidi="ar"/>
        </w:rPr>
        <w:t>，提出评估结论。评估结论应经过至少2名评估专家的评估确认。</w:t>
      </w:r>
    </w:p>
    <w:p>
      <w:pPr>
        <w:keepNext w:val="0"/>
        <w:keepLines w:val="0"/>
        <w:pageBreakBefore w:val="0"/>
        <w:widowControl w:val="0"/>
        <w:kinsoku/>
        <w:wordWrap/>
        <w:overflowPunct/>
        <w:topLinePunct w:val="0"/>
        <w:autoSpaceDE/>
        <w:autoSpaceDN/>
        <w:bidi w:val="0"/>
        <w:adjustRightInd/>
        <w:snapToGrid/>
        <w:spacing w:beforeAutospacing="0" w:afterAutospacing="0" w:line="680" w:lineRule="exact"/>
        <w:ind w:firstLine="640" w:firstLineChars="200"/>
        <w:jc w:val="both"/>
        <w:textAlignment w:val="auto"/>
        <w:rPr>
          <w:rFonts w:hint="eastAsia" w:ascii="Times New Roman" w:hAnsi="Times New Roman" w:eastAsia="方正仿宋_GBK" w:cs="方正仿宋_GBK"/>
          <w:b w:val="0"/>
          <w:bCs w:val="0"/>
          <w:color w:val="000000"/>
          <w:kern w:val="0"/>
          <w:sz w:val="32"/>
          <w:szCs w:val="32"/>
          <w:highlight w:val="none"/>
        </w:rPr>
      </w:pPr>
      <w:r>
        <w:rPr>
          <w:rFonts w:hint="eastAsia" w:ascii="Times New Roman" w:hAnsi="Times New Roman" w:eastAsia="方正楷体_GBK" w:cs="方正楷体_GBK"/>
          <w:b w:val="0"/>
          <w:bCs w:val="0"/>
          <w:color w:val="000000"/>
          <w:kern w:val="2"/>
          <w:sz w:val="32"/>
          <w:szCs w:val="32"/>
          <w:highlight w:val="none"/>
          <w:lang w:val="en-US" w:eastAsia="zh-CN" w:bidi="ar-SA"/>
        </w:rPr>
        <w:t>（二）调整评估时限。</w:t>
      </w:r>
      <w:r>
        <w:rPr>
          <w:rFonts w:hint="eastAsia" w:ascii="Times New Roman" w:hAnsi="Times New Roman" w:eastAsia="方正仿宋_GBK" w:cs="方正仿宋_GBK"/>
          <w:b w:val="0"/>
          <w:bCs w:val="0"/>
          <w:color w:val="000000"/>
          <w:kern w:val="0"/>
          <w:sz w:val="32"/>
          <w:szCs w:val="32"/>
          <w:highlight w:val="none"/>
        </w:rPr>
        <w:t>准入评估工作在接到有效申请的</w:t>
      </w:r>
      <w:r>
        <w:rPr>
          <w:rFonts w:hint="eastAsia" w:ascii="Times New Roman" w:hAnsi="Times New Roman" w:eastAsia="方正仿宋_GBK" w:cs="方正仿宋_GBK"/>
          <w:b w:val="0"/>
          <w:bCs w:val="0"/>
          <w:color w:val="000000"/>
          <w:kern w:val="0"/>
          <w:sz w:val="32"/>
          <w:szCs w:val="32"/>
          <w:highlight w:val="none"/>
          <w:lang w:val="en-US" w:eastAsia="zh-CN"/>
        </w:rPr>
        <w:t>30个工作日内</w:t>
      </w:r>
      <w:r>
        <w:rPr>
          <w:rFonts w:hint="eastAsia" w:ascii="Times New Roman" w:hAnsi="Times New Roman" w:eastAsia="方正仿宋_GBK" w:cs="方正仿宋_GBK"/>
          <w:b w:val="0"/>
          <w:bCs w:val="0"/>
          <w:color w:val="000000"/>
          <w:kern w:val="0"/>
          <w:sz w:val="32"/>
          <w:szCs w:val="32"/>
          <w:highlight w:val="none"/>
        </w:rPr>
        <w:t>完成</w:t>
      </w:r>
      <w:r>
        <w:rPr>
          <w:rFonts w:hint="eastAsia" w:ascii="Times New Roman" w:hAnsi="Times New Roman" w:eastAsia="方正仿宋_GBK" w:cs="方正仿宋_GBK"/>
          <w:b w:val="0"/>
          <w:bCs w:val="0"/>
          <w:color w:val="000000"/>
          <w:kern w:val="0"/>
          <w:sz w:val="32"/>
          <w:szCs w:val="32"/>
          <w:highlight w:val="none"/>
          <w:lang w:eastAsia="zh-CN"/>
        </w:rPr>
        <w:t>（含</w:t>
      </w:r>
      <w:r>
        <w:rPr>
          <w:rFonts w:hint="eastAsia" w:ascii="Times New Roman" w:hAnsi="Times New Roman" w:eastAsia="方正仿宋_GBK" w:cs="方正仿宋_GBK"/>
          <w:b w:val="0"/>
          <w:bCs w:val="0"/>
          <w:color w:val="000000"/>
          <w:kern w:val="0"/>
          <w:sz w:val="32"/>
          <w:szCs w:val="32"/>
          <w:highlight w:val="none"/>
        </w:rPr>
        <w:t>《评估结论书》</w:t>
      </w:r>
      <w:r>
        <w:rPr>
          <w:rFonts w:hint="eastAsia" w:ascii="Times New Roman" w:hAnsi="Times New Roman" w:eastAsia="方正仿宋_GBK" w:cs="方正仿宋_GBK"/>
          <w:b w:val="0"/>
          <w:bCs w:val="0"/>
          <w:color w:val="000000"/>
          <w:kern w:val="0"/>
          <w:sz w:val="32"/>
          <w:szCs w:val="32"/>
          <w:highlight w:val="none"/>
          <w:lang w:eastAsia="zh-CN"/>
        </w:rPr>
        <w:t>送达）</w:t>
      </w:r>
      <w:r>
        <w:rPr>
          <w:rFonts w:hint="eastAsia" w:ascii="Times New Roman" w:hAnsi="Times New Roman" w:eastAsia="方正仿宋_GBK" w:cs="方正仿宋_GBK"/>
          <w:b w:val="0"/>
          <w:bCs w:val="0"/>
          <w:color w:val="000000"/>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680" w:lineRule="exact"/>
        <w:ind w:firstLine="640" w:firstLineChars="200"/>
        <w:jc w:val="both"/>
        <w:textAlignment w:val="auto"/>
        <w:rPr>
          <w:rFonts w:hint="eastAsia" w:ascii="Times New Roman" w:hAnsi="Times New Roman" w:eastAsia="方正仿宋_GBK" w:cs="方正仿宋_GBK"/>
          <w:b w:val="0"/>
          <w:bCs w:val="0"/>
          <w:color w:val="000000"/>
          <w:kern w:val="0"/>
          <w:sz w:val="32"/>
          <w:szCs w:val="32"/>
          <w:highlight w:val="none"/>
        </w:rPr>
      </w:pPr>
      <w:r>
        <w:rPr>
          <w:rFonts w:hint="eastAsia" w:ascii="Times New Roman" w:hAnsi="Times New Roman" w:eastAsia="方正楷体_GBK" w:cs="方正楷体_GBK"/>
          <w:b w:val="0"/>
          <w:bCs w:val="0"/>
          <w:color w:val="000000"/>
          <w:kern w:val="2"/>
          <w:sz w:val="32"/>
          <w:szCs w:val="32"/>
          <w:highlight w:val="none"/>
          <w:lang w:val="en-US" w:eastAsia="zh-CN" w:bidi="ar-SA"/>
        </w:rPr>
        <w:t>（三）增加定期评估。</w:t>
      </w:r>
      <w:r>
        <w:rPr>
          <w:rFonts w:hint="eastAsia" w:ascii="Times New Roman" w:hAnsi="Times New Roman" w:eastAsia="方正仿宋_GBK" w:cs="方正仿宋_GBK"/>
          <w:b w:val="0"/>
          <w:bCs w:val="0"/>
          <w:color w:val="000000"/>
          <w:kern w:val="2"/>
          <w:sz w:val="32"/>
          <w:szCs w:val="32"/>
          <w:highlight w:val="none"/>
          <w:lang w:val="en-US" w:eastAsia="zh-CN" w:bidi="ar-SA"/>
        </w:rPr>
        <w:t>长期护理保险失能等级评估结论有效期不超过24个月，待遇享受人员在待遇享受期间应按规定进行定期评估。</w:t>
      </w:r>
      <w:r>
        <w:rPr>
          <w:rFonts w:hint="eastAsia" w:ascii="Times New Roman" w:hAnsi="Times New Roman" w:eastAsia="方正仿宋_GBK" w:cs="方正仿宋_GBK"/>
          <w:b w:val="0"/>
          <w:bCs w:val="0"/>
          <w:color w:val="000000"/>
          <w:kern w:val="0"/>
          <w:sz w:val="32"/>
          <w:szCs w:val="32"/>
          <w:highlight w:val="none"/>
        </w:rPr>
        <w:t>对</w:t>
      </w:r>
      <w:r>
        <w:rPr>
          <w:rFonts w:hint="eastAsia" w:ascii="Times New Roman" w:hAnsi="Times New Roman" w:eastAsia="方正仿宋_GBK" w:cs="方正仿宋_GBK"/>
          <w:b w:val="0"/>
          <w:bCs w:val="0"/>
          <w:color w:val="000000"/>
          <w:kern w:val="0"/>
          <w:sz w:val="32"/>
          <w:szCs w:val="32"/>
          <w:highlight w:val="none"/>
          <w:lang w:eastAsia="zh-CN"/>
        </w:rPr>
        <w:t>定期</w:t>
      </w:r>
      <w:r>
        <w:rPr>
          <w:rFonts w:hint="eastAsia" w:ascii="Times New Roman" w:hAnsi="Times New Roman" w:eastAsia="方正仿宋_GBK" w:cs="方正仿宋_GBK"/>
          <w:b w:val="0"/>
          <w:bCs w:val="0"/>
          <w:color w:val="000000"/>
          <w:kern w:val="0"/>
          <w:sz w:val="32"/>
          <w:szCs w:val="32"/>
          <w:highlight w:val="none"/>
        </w:rPr>
        <w:t>评估结论有异议的，可按再次评估流程申请再次评估。</w:t>
      </w:r>
    </w:p>
    <w:p>
      <w:pPr>
        <w:keepNext w:val="0"/>
        <w:keepLines w:val="0"/>
        <w:pageBreakBefore w:val="0"/>
        <w:widowControl w:val="0"/>
        <w:kinsoku/>
        <w:wordWrap/>
        <w:overflowPunct/>
        <w:topLinePunct w:val="0"/>
        <w:autoSpaceDE/>
        <w:autoSpaceDN/>
        <w:bidi w:val="0"/>
        <w:adjustRightInd/>
        <w:snapToGrid/>
        <w:spacing w:beforeAutospacing="0" w:afterAutospacing="0" w:line="680" w:lineRule="exact"/>
        <w:ind w:firstLine="640" w:firstLineChars="200"/>
        <w:jc w:val="both"/>
        <w:textAlignment w:val="auto"/>
        <w:rPr>
          <w:rFonts w:hint="eastAsia" w:ascii="Times New Roman" w:hAnsi="Times New Roman" w:eastAsia="方正仿宋_GBK" w:cs="方正仿宋_GBK"/>
          <w:b w:val="0"/>
          <w:bCs w:val="0"/>
          <w:color w:val="000000"/>
          <w:kern w:val="0"/>
          <w:sz w:val="32"/>
          <w:szCs w:val="32"/>
          <w:highlight w:val="none"/>
          <w:lang w:eastAsia="zh-CN"/>
        </w:rPr>
      </w:pPr>
      <w:r>
        <w:rPr>
          <w:rFonts w:hint="eastAsia" w:ascii="Times New Roman" w:hAnsi="Times New Roman" w:eastAsia="方正仿宋_GBK" w:cs="方正仿宋_GBK"/>
          <w:i w:val="0"/>
          <w:iCs w:val="0"/>
          <w:caps w:val="0"/>
          <w:color w:val="000000"/>
          <w:spacing w:val="0"/>
          <w:sz w:val="32"/>
          <w:szCs w:val="32"/>
          <w:highlight w:val="none"/>
          <w:shd w:val="clear" w:color="auto" w:fill="FFFFFF"/>
          <w:lang w:eastAsia="zh-CN"/>
        </w:rPr>
        <w:t>经定期评估失能等级不符合待遇享受条件的，按规定停止待遇；参保人</w:t>
      </w:r>
      <w:r>
        <w:rPr>
          <w:rFonts w:hint="eastAsia" w:ascii="Times New Roman" w:hAnsi="Times New Roman" w:eastAsia="方正仿宋_GBK" w:cs="方正仿宋_GBK"/>
          <w:i w:val="0"/>
          <w:iCs w:val="0"/>
          <w:caps w:val="0"/>
          <w:color w:val="000000"/>
          <w:spacing w:val="0"/>
          <w:sz w:val="32"/>
          <w:szCs w:val="32"/>
          <w:highlight w:val="none"/>
          <w:shd w:val="clear" w:color="auto" w:fill="FFFFFF"/>
        </w:rPr>
        <w:t>无正当理由不配合</w:t>
      </w:r>
      <w:r>
        <w:rPr>
          <w:rFonts w:hint="eastAsia" w:ascii="Times New Roman" w:hAnsi="Times New Roman" w:eastAsia="方正仿宋_GBK" w:cs="方正仿宋_GBK"/>
          <w:i w:val="0"/>
          <w:iCs w:val="0"/>
          <w:caps w:val="0"/>
          <w:color w:val="000000"/>
          <w:spacing w:val="0"/>
          <w:sz w:val="32"/>
          <w:szCs w:val="32"/>
          <w:highlight w:val="none"/>
          <w:shd w:val="clear" w:color="auto" w:fill="FFFFFF"/>
          <w:lang w:eastAsia="zh-CN"/>
        </w:rPr>
        <w:t>定期</w:t>
      </w:r>
      <w:r>
        <w:rPr>
          <w:rFonts w:hint="eastAsia" w:ascii="Times New Roman" w:hAnsi="Times New Roman" w:eastAsia="方正仿宋_GBK" w:cs="方正仿宋_GBK"/>
          <w:i w:val="0"/>
          <w:iCs w:val="0"/>
          <w:caps w:val="0"/>
          <w:color w:val="000000"/>
          <w:spacing w:val="0"/>
          <w:sz w:val="32"/>
          <w:szCs w:val="32"/>
          <w:highlight w:val="none"/>
          <w:shd w:val="clear" w:color="auto" w:fill="FFFFFF"/>
        </w:rPr>
        <w:t>评估</w:t>
      </w:r>
      <w:r>
        <w:rPr>
          <w:rFonts w:hint="eastAsia" w:ascii="Times New Roman" w:hAnsi="Times New Roman" w:eastAsia="方正仿宋_GBK" w:cs="方正仿宋_GBK"/>
          <w:i w:val="0"/>
          <w:iCs w:val="0"/>
          <w:caps w:val="0"/>
          <w:color w:val="000000"/>
          <w:spacing w:val="0"/>
          <w:sz w:val="32"/>
          <w:szCs w:val="32"/>
          <w:highlight w:val="none"/>
          <w:shd w:val="clear" w:color="auto" w:fill="FFFFFF"/>
          <w:lang w:eastAsia="zh-CN"/>
        </w:rPr>
        <w:t>或</w:t>
      </w:r>
      <w:r>
        <w:rPr>
          <w:rFonts w:hint="eastAsia" w:ascii="Times New Roman" w:hAnsi="Times New Roman" w:eastAsia="方正仿宋_GBK" w:cs="方正仿宋_GBK"/>
          <w:i w:val="0"/>
          <w:iCs w:val="0"/>
          <w:caps w:val="0"/>
          <w:color w:val="000000"/>
          <w:spacing w:val="0"/>
          <w:sz w:val="32"/>
          <w:szCs w:val="32"/>
          <w:highlight w:val="none"/>
          <w:shd w:val="clear" w:color="auto" w:fill="FFFFFF"/>
        </w:rPr>
        <w:t>其他原因导致</w:t>
      </w:r>
      <w:r>
        <w:rPr>
          <w:rFonts w:hint="eastAsia" w:ascii="Times New Roman" w:hAnsi="Times New Roman" w:eastAsia="方正仿宋_GBK" w:cs="方正仿宋_GBK"/>
          <w:i w:val="0"/>
          <w:iCs w:val="0"/>
          <w:caps w:val="0"/>
          <w:color w:val="000000"/>
          <w:spacing w:val="0"/>
          <w:sz w:val="32"/>
          <w:szCs w:val="32"/>
          <w:highlight w:val="none"/>
          <w:shd w:val="clear" w:color="auto" w:fill="FFFFFF"/>
          <w:lang w:eastAsia="zh-CN"/>
        </w:rPr>
        <w:t>定期</w:t>
      </w:r>
      <w:r>
        <w:rPr>
          <w:rFonts w:hint="eastAsia" w:ascii="Times New Roman" w:hAnsi="Times New Roman" w:eastAsia="方正仿宋_GBK" w:cs="方正仿宋_GBK"/>
          <w:i w:val="0"/>
          <w:iCs w:val="0"/>
          <w:caps w:val="0"/>
          <w:color w:val="000000"/>
          <w:spacing w:val="0"/>
          <w:sz w:val="32"/>
          <w:szCs w:val="32"/>
          <w:highlight w:val="none"/>
          <w:shd w:val="clear" w:color="auto" w:fill="FFFFFF"/>
        </w:rPr>
        <w:t>评估终止的</w:t>
      </w:r>
      <w:r>
        <w:rPr>
          <w:rFonts w:hint="eastAsia" w:ascii="Times New Roman" w:hAnsi="Times New Roman" w:eastAsia="方正仿宋_GBK" w:cs="方正仿宋_GBK"/>
          <w:i w:val="0"/>
          <w:iCs w:val="0"/>
          <w:caps w:val="0"/>
          <w:color w:val="000000"/>
          <w:spacing w:val="0"/>
          <w:sz w:val="32"/>
          <w:szCs w:val="32"/>
          <w:highlight w:val="none"/>
          <w:shd w:val="clear" w:color="auto" w:fill="FFFFFF"/>
          <w:lang w:eastAsia="zh-CN"/>
        </w:rPr>
        <w:t>，从评估结论有效期结束的次月起停止待遇。</w:t>
      </w:r>
    </w:p>
    <w:p>
      <w:pPr>
        <w:keepNext w:val="0"/>
        <w:keepLines w:val="0"/>
        <w:pageBreakBefore w:val="0"/>
        <w:widowControl w:val="0"/>
        <w:kinsoku/>
        <w:wordWrap/>
        <w:overflowPunct/>
        <w:topLinePunct w:val="0"/>
        <w:autoSpaceDE/>
        <w:autoSpaceDN/>
        <w:bidi w:val="0"/>
        <w:adjustRightInd/>
        <w:snapToGrid/>
        <w:spacing w:beforeAutospacing="0" w:afterAutospacing="0" w:line="660" w:lineRule="exact"/>
        <w:ind w:firstLine="640" w:firstLineChars="200"/>
        <w:jc w:val="both"/>
        <w:textAlignment w:val="auto"/>
        <w:rPr>
          <w:rFonts w:hint="eastAsia" w:ascii="Times New Roman" w:hAnsi="Times New Roman" w:eastAsia="宋体" w:cs="Times New Roman"/>
          <w:b w:val="0"/>
          <w:bCs w:val="0"/>
          <w:color w:val="000000"/>
          <w:sz w:val="21"/>
          <w:szCs w:val="24"/>
          <w:highlight w:val="none"/>
          <w:lang w:val="en-US" w:eastAsia="zh-CN"/>
        </w:rPr>
      </w:pPr>
      <w:r>
        <w:rPr>
          <w:rFonts w:hint="eastAsia" w:ascii="Times New Roman" w:hAnsi="Times New Roman" w:eastAsia="方正楷体_GBK" w:cs="方正楷体_GBK"/>
          <w:b w:val="0"/>
          <w:bCs w:val="0"/>
          <w:color w:val="000000"/>
          <w:kern w:val="2"/>
          <w:sz w:val="32"/>
          <w:szCs w:val="32"/>
          <w:highlight w:val="none"/>
          <w:lang w:val="en-US" w:eastAsia="zh-CN" w:bidi="ar-SA"/>
        </w:rPr>
        <w:t>（四）规范再次评估。</w:t>
      </w:r>
      <w:r>
        <w:rPr>
          <w:rFonts w:hint="eastAsia" w:ascii="Times New Roman" w:hAnsi="Times New Roman" w:eastAsia="方正仿宋_GBK" w:cs="方正仿宋_GBK"/>
          <w:b w:val="0"/>
          <w:bCs w:val="0"/>
          <w:color w:val="000000"/>
          <w:kern w:val="2"/>
          <w:sz w:val="32"/>
          <w:szCs w:val="32"/>
          <w:highlight w:val="none"/>
          <w:lang w:val="en-US" w:eastAsia="zh-CN" w:bidi="ar-SA"/>
        </w:rPr>
        <w:t>再次评估</w:t>
      </w:r>
      <w:r>
        <w:rPr>
          <w:rFonts w:hint="eastAsia" w:ascii="Times New Roman" w:hAnsi="Times New Roman" w:eastAsia="方正仿宋_GBK" w:cs="方正仿宋_GBK"/>
          <w:i w:val="0"/>
          <w:iCs w:val="0"/>
          <w:caps w:val="0"/>
          <w:color w:val="000000"/>
          <w:spacing w:val="0"/>
          <w:sz w:val="32"/>
          <w:szCs w:val="32"/>
          <w:highlight w:val="none"/>
          <w:shd w:val="clear" w:color="auto" w:fill="FFFFFF"/>
        </w:rPr>
        <w:t>原则上有不少于2名评估专家参加，参加初次评估的定点评估机构和评估人员须回避。</w:t>
      </w:r>
    </w:p>
    <w:p>
      <w:pPr>
        <w:keepNext w:val="0"/>
        <w:keepLines w:val="0"/>
        <w:pageBreakBefore w:val="0"/>
        <w:widowControl/>
        <w:kinsoku/>
        <w:wordWrap/>
        <w:overflowPunct/>
        <w:topLinePunct w:val="0"/>
        <w:autoSpaceDE/>
        <w:autoSpaceDN/>
        <w:bidi w:val="0"/>
        <w:adjustRightInd/>
        <w:snapToGrid/>
        <w:spacing w:beforeAutospacing="0" w:afterAutospacing="0" w:line="660" w:lineRule="exact"/>
        <w:ind w:firstLine="640" w:firstLineChars="200"/>
        <w:jc w:val="both"/>
        <w:textAlignment w:val="auto"/>
        <w:rPr>
          <w:rFonts w:hint="eastAsia" w:ascii="Times New Roman" w:hAnsi="Times New Roman" w:eastAsia="方正楷体_GBK" w:cs="方正楷体_GBK"/>
          <w:b w:val="0"/>
          <w:bCs w:val="0"/>
          <w:color w:val="000000"/>
          <w:kern w:val="2"/>
          <w:sz w:val="32"/>
          <w:szCs w:val="32"/>
          <w:highlight w:val="none"/>
          <w:lang w:val="en-US" w:eastAsia="zh-CN" w:bidi="ar-SA"/>
        </w:rPr>
      </w:pPr>
      <w:r>
        <w:rPr>
          <w:rFonts w:hint="eastAsia" w:ascii="Times New Roman" w:hAnsi="Times New Roman" w:eastAsia="方正楷体_GBK" w:cs="方正楷体_GBK"/>
          <w:b w:val="0"/>
          <w:bCs w:val="0"/>
          <w:color w:val="000000"/>
          <w:kern w:val="2"/>
          <w:sz w:val="32"/>
          <w:szCs w:val="32"/>
          <w:highlight w:val="none"/>
          <w:lang w:val="en-US" w:eastAsia="zh-CN" w:bidi="ar-SA"/>
        </w:rPr>
        <w:t>（五）建立评估人员库。</w:t>
      </w:r>
      <w:r>
        <w:rPr>
          <w:rFonts w:hint="eastAsia" w:ascii="Times New Roman" w:hAnsi="Times New Roman" w:eastAsia="方正仿宋_GBK" w:cs="方正仿宋_GBK"/>
          <w:b w:val="0"/>
          <w:bCs w:val="0"/>
          <w:color w:val="000000"/>
          <w:kern w:val="2"/>
          <w:sz w:val="32"/>
          <w:szCs w:val="32"/>
          <w:highlight w:val="none"/>
          <w:lang w:val="en-US" w:eastAsia="zh-CN" w:bidi="ar-SA"/>
        </w:rPr>
        <w:t>市级医保部门组织</w:t>
      </w:r>
      <w:r>
        <w:rPr>
          <w:rFonts w:hint="eastAsia" w:ascii="Times New Roman" w:hAnsi="Times New Roman" w:eastAsia="方正仿宋_GBK" w:cs="方正仿宋_GBK"/>
          <w:i w:val="0"/>
          <w:iCs w:val="0"/>
          <w:caps w:val="0"/>
          <w:color w:val="000000"/>
          <w:spacing w:val="0"/>
          <w:sz w:val="32"/>
          <w:szCs w:val="32"/>
          <w:highlight w:val="none"/>
          <w:shd w:val="clear" w:color="auto" w:fill="FFFFFF"/>
        </w:rPr>
        <w:t>建立</w:t>
      </w:r>
      <w:r>
        <w:rPr>
          <w:rFonts w:hint="eastAsia" w:ascii="Times New Roman" w:hAnsi="Times New Roman" w:eastAsia="方正仿宋_GBK" w:cs="方正仿宋_GBK"/>
          <w:i w:val="0"/>
          <w:iCs w:val="0"/>
          <w:caps w:val="0"/>
          <w:color w:val="000000"/>
          <w:spacing w:val="0"/>
          <w:sz w:val="32"/>
          <w:szCs w:val="32"/>
          <w:highlight w:val="none"/>
          <w:shd w:val="clear" w:color="auto" w:fill="FFFFFF"/>
          <w:lang w:eastAsia="zh-CN"/>
        </w:rPr>
        <w:t>全市</w:t>
      </w:r>
      <w:r>
        <w:rPr>
          <w:rFonts w:hint="eastAsia" w:ascii="Times New Roman" w:hAnsi="Times New Roman" w:eastAsia="方正仿宋_GBK" w:cs="方正仿宋_GBK"/>
          <w:i w:val="0"/>
          <w:iCs w:val="0"/>
          <w:caps w:val="0"/>
          <w:color w:val="000000"/>
          <w:spacing w:val="0"/>
          <w:sz w:val="32"/>
          <w:szCs w:val="32"/>
          <w:highlight w:val="none"/>
          <w:shd w:val="clear" w:color="auto" w:fill="FFFFFF"/>
        </w:rPr>
        <w:t>评估员</w:t>
      </w:r>
      <w:r>
        <w:rPr>
          <w:rFonts w:hint="eastAsia" w:ascii="Times New Roman" w:hAnsi="Times New Roman" w:eastAsia="方正仿宋_GBK" w:cs="方正仿宋_GBK"/>
          <w:i w:val="0"/>
          <w:iCs w:val="0"/>
          <w:caps w:val="0"/>
          <w:color w:val="000000"/>
          <w:spacing w:val="0"/>
          <w:sz w:val="32"/>
          <w:szCs w:val="32"/>
          <w:highlight w:val="none"/>
          <w:shd w:val="clear" w:color="auto" w:fill="FFFFFF"/>
          <w:lang w:eastAsia="zh-CN"/>
        </w:rPr>
        <w:t>和评估专家</w:t>
      </w:r>
      <w:r>
        <w:rPr>
          <w:rFonts w:hint="eastAsia" w:ascii="Times New Roman" w:hAnsi="Times New Roman" w:eastAsia="方正仿宋_GBK" w:cs="方正仿宋_GBK"/>
          <w:i w:val="0"/>
          <w:iCs w:val="0"/>
          <w:caps w:val="0"/>
          <w:color w:val="000000"/>
          <w:spacing w:val="0"/>
          <w:sz w:val="32"/>
          <w:szCs w:val="32"/>
          <w:highlight w:val="none"/>
          <w:shd w:val="clear" w:color="auto" w:fill="FFFFFF"/>
        </w:rPr>
        <w:t>库，</w:t>
      </w:r>
      <w:r>
        <w:rPr>
          <w:rFonts w:hint="eastAsia" w:ascii="Times New Roman" w:hAnsi="Times New Roman" w:eastAsia="方正仿宋_GBK" w:cs="方正仿宋_GBK"/>
          <w:i w:val="0"/>
          <w:iCs w:val="0"/>
          <w:caps w:val="0"/>
          <w:color w:val="000000"/>
          <w:spacing w:val="0"/>
          <w:sz w:val="32"/>
          <w:szCs w:val="32"/>
          <w:highlight w:val="none"/>
          <w:shd w:val="clear" w:color="auto" w:fill="FFFFFF"/>
          <w:lang w:eastAsia="zh-CN"/>
        </w:rPr>
        <w:t>建立进</w:t>
      </w:r>
      <w:r>
        <w:rPr>
          <w:rFonts w:hint="eastAsia" w:ascii="Times New Roman" w:hAnsi="Times New Roman" w:eastAsia="方正仿宋_GBK" w:cs="方正仿宋_GBK"/>
          <w:i w:val="0"/>
          <w:iCs w:val="0"/>
          <w:caps w:val="0"/>
          <w:color w:val="000000"/>
          <w:spacing w:val="0"/>
          <w:sz w:val="32"/>
          <w:szCs w:val="32"/>
          <w:highlight w:val="none"/>
          <w:shd w:val="clear" w:color="auto" w:fill="FFFFFF"/>
        </w:rPr>
        <w:t>入退出机制</w:t>
      </w:r>
      <w:r>
        <w:rPr>
          <w:rFonts w:hint="eastAsia" w:ascii="Times New Roman" w:hAnsi="Times New Roman" w:eastAsia="方正仿宋_GBK" w:cs="方正仿宋_GBK"/>
          <w:i w:val="0"/>
          <w:iCs w:val="0"/>
          <w:caps w:val="0"/>
          <w:color w:val="000000"/>
          <w:spacing w:val="0"/>
          <w:sz w:val="32"/>
          <w:szCs w:val="32"/>
          <w:highlight w:val="none"/>
          <w:shd w:val="clear" w:color="auto" w:fill="FFFFFF"/>
          <w:lang w:eastAsia="zh-CN"/>
        </w:rPr>
        <w:t>；各区县医保部门负责对辖区内</w:t>
      </w:r>
      <w:r>
        <w:rPr>
          <w:rFonts w:hint="eastAsia" w:ascii="Times New Roman" w:hAnsi="Times New Roman" w:eastAsia="方正仿宋_GBK" w:cs="方正仿宋_GBK"/>
          <w:i w:val="0"/>
          <w:iCs w:val="0"/>
          <w:caps w:val="0"/>
          <w:color w:val="000000"/>
          <w:spacing w:val="0"/>
          <w:sz w:val="32"/>
          <w:szCs w:val="32"/>
          <w:highlight w:val="none"/>
          <w:shd w:val="clear" w:color="auto" w:fill="FFFFFF"/>
        </w:rPr>
        <w:t>评估员</w:t>
      </w:r>
      <w:r>
        <w:rPr>
          <w:rFonts w:hint="eastAsia" w:ascii="Times New Roman" w:hAnsi="Times New Roman" w:eastAsia="方正仿宋_GBK" w:cs="方正仿宋_GBK"/>
          <w:i w:val="0"/>
          <w:iCs w:val="0"/>
          <w:caps w:val="0"/>
          <w:color w:val="000000"/>
          <w:spacing w:val="0"/>
          <w:sz w:val="32"/>
          <w:szCs w:val="32"/>
          <w:highlight w:val="none"/>
          <w:shd w:val="clear" w:color="auto" w:fill="FFFFFF"/>
          <w:lang w:eastAsia="zh-CN"/>
        </w:rPr>
        <w:t>和评估专家进行规范管理，落实进</w:t>
      </w:r>
      <w:r>
        <w:rPr>
          <w:rFonts w:hint="eastAsia" w:ascii="Times New Roman" w:hAnsi="Times New Roman" w:eastAsia="方正仿宋_GBK" w:cs="方正仿宋_GBK"/>
          <w:i w:val="0"/>
          <w:iCs w:val="0"/>
          <w:caps w:val="0"/>
          <w:color w:val="000000"/>
          <w:spacing w:val="0"/>
          <w:sz w:val="32"/>
          <w:szCs w:val="32"/>
          <w:highlight w:val="none"/>
          <w:shd w:val="clear" w:color="auto" w:fill="FFFFFF"/>
        </w:rPr>
        <w:t>入退出</w:t>
      </w:r>
      <w:r>
        <w:rPr>
          <w:rFonts w:hint="eastAsia" w:ascii="Times New Roman" w:hAnsi="Times New Roman" w:eastAsia="方正仿宋_GBK" w:cs="方正仿宋_GBK"/>
          <w:i w:val="0"/>
          <w:iCs w:val="0"/>
          <w:caps w:val="0"/>
          <w:color w:val="000000"/>
          <w:spacing w:val="0"/>
          <w:sz w:val="32"/>
          <w:szCs w:val="32"/>
          <w:highlight w:val="none"/>
          <w:shd w:val="clear" w:color="auto" w:fill="FFFFFF"/>
          <w:lang w:eastAsia="zh-CN"/>
        </w:rPr>
        <w:t>工作要求</w:t>
      </w:r>
      <w:r>
        <w:rPr>
          <w:rFonts w:hint="eastAsia" w:ascii="Times New Roman" w:hAnsi="Times New Roman" w:eastAsia="方正仿宋_GBK" w:cs="方正仿宋_GBK"/>
          <w:i w:val="0"/>
          <w:iCs w:val="0"/>
          <w:caps w:val="0"/>
          <w:color w:val="000000"/>
          <w:spacing w:val="0"/>
          <w:sz w:val="32"/>
          <w:szCs w:val="32"/>
          <w:highlight w:val="none"/>
          <w:shd w:val="clear" w:color="auto" w:fill="FFFFFF"/>
        </w:rPr>
        <w:t>。</w:t>
      </w:r>
    </w:p>
    <w:p>
      <w:pPr>
        <w:keepNext w:val="0"/>
        <w:keepLines w:val="0"/>
        <w:pageBreakBefore w:val="0"/>
        <w:widowControl/>
        <w:kinsoku/>
        <w:wordWrap/>
        <w:overflowPunct/>
        <w:topLinePunct w:val="0"/>
        <w:autoSpaceDE/>
        <w:autoSpaceDN/>
        <w:bidi w:val="0"/>
        <w:adjustRightInd/>
        <w:snapToGrid/>
        <w:spacing w:beforeAutospacing="0" w:afterAutospacing="0" w:line="660" w:lineRule="exact"/>
        <w:ind w:firstLine="640" w:firstLineChars="200"/>
        <w:jc w:val="both"/>
        <w:textAlignment w:val="auto"/>
        <w:rPr>
          <w:rFonts w:hint="eastAsia" w:ascii="Times New Roman" w:hAnsi="Times New Roman" w:eastAsia="宋体" w:cs="Times New Roman"/>
          <w:b w:val="0"/>
          <w:bCs w:val="0"/>
          <w:color w:val="000000"/>
          <w:sz w:val="21"/>
          <w:szCs w:val="24"/>
          <w:highlight w:val="none"/>
          <w:lang w:val="en-US" w:eastAsia="zh-CN"/>
        </w:rPr>
      </w:pPr>
      <w:r>
        <w:rPr>
          <w:rFonts w:hint="eastAsia" w:ascii="Times New Roman" w:hAnsi="Times New Roman" w:eastAsia="方正楷体_GBK" w:cs="方正楷体_GBK"/>
          <w:b w:val="0"/>
          <w:bCs w:val="0"/>
          <w:color w:val="000000"/>
          <w:kern w:val="2"/>
          <w:sz w:val="32"/>
          <w:szCs w:val="32"/>
          <w:highlight w:val="none"/>
          <w:lang w:val="en-US" w:eastAsia="zh-CN" w:bidi="ar-SA"/>
        </w:rPr>
        <w:t>（六）鼓励发展独立评估机构。</w:t>
      </w:r>
      <w:r>
        <w:rPr>
          <w:rFonts w:hint="eastAsia" w:ascii="Times New Roman" w:hAnsi="Times New Roman" w:eastAsia="方正仿宋_GBK" w:cs="方正仿宋_GBK"/>
          <w:b w:val="0"/>
          <w:bCs w:val="0"/>
          <w:i w:val="0"/>
          <w:iCs w:val="0"/>
          <w:caps w:val="0"/>
          <w:color w:val="000000"/>
          <w:spacing w:val="0"/>
          <w:sz w:val="32"/>
          <w:szCs w:val="32"/>
          <w:highlight w:val="none"/>
          <w:shd w:val="clear" w:color="auto" w:fill="FFFFFF"/>
        </w:rPr>
        <w:t>随</w:t>
      </w:r>
      <w:r>
        <w:rPr>
          <w:rFonts w:hint="eastAsia" w:ascii="Times New Roman" w:hAnsi="Times New Roman" w:eastAsia="方正仿宋_GBK" w:cs="方正仿宋_GBK"/>
          <w:b w:val="0"/>
          <w:bCs w:val="0"/>
          <w:i w:val="0"/>
          <w:iCs w:val="0"/>
          <w:caps w:val="0"/>
          <w:color w:val="000000"/>
          <w:spacing w:val="0"/>
          <w:sz w:val="32"/>
          <w:szCs w:val="32"/>
          <w:highlight w:val="none"/>
          <w:shd w:val="clear" w:color="auto" w:fill="FFFFFF"/>
          <w:lang w:eastAsia="zh-CN"/>
        </w:rPr>
        <w:t>着</w:t>
      </w:r>
      <w:r>
        <w:rPr>
          <w:rFonts w:hint="eastAsia" w:ascii="Times New Roman" w:hAnsi="Times New Roman" w:eastAsia="方正仿宋_GBK" w:cs="方正仿宋_GBK"/>
          <w:b w:val="0"/>
          <w:bCs w:val="0"/>
          <w:i w:val="0"/>
          <w:iCs w:val="0"/>
          <w:caps w:val="0"/>
          <w:color w:val="000000"/>
          <w:spacing w:val="0"/>
          <w:sz w:val="32"/>
          <w:szCs w:val="32"/>
          <w:highlight w:val="none"/>
          <w:shd w:val="clear" w:color="auto" w:fill="FFFFFF"/>
        </w:rPr>
        <w:t>制度</w:t>
      </w:r>
      <w:r>
        <w:rPr>
          <w:rFonts w:hint="eastAsia" w:ascii="Times New Roman" w:hAnsi="Times New Roman" w:eastAsia="方正仿宋_GBK" w:cs="方正仿宋_GBK"/>
          <w:b w:val="0"/>
          <w:bCs w:val="0"/>
          <w:i w:val="0"/>
          <w:iCs w:val="0"/>
          <w:caps w:val="0"/>
          <w:color w:val="000000"/>
          <w:spacing w:val="0"/>
          <w:sz w:val="32"/>
          <w:szCs w:val="32"/>
          <w:highlight w:val="none"/>
          <w:shd w:val="clear" w:color="auto" w:fill="FFFFFF"/>
          <w:lang w:eastAsia="zh-CN"/>
        </w:rPr>
        <w:t>不断</w:t>
      </w:r>
      <w:r>
        <w:rPr>
          <w:rFonts w:hint="eastAsia" w:ascii="Times New Roman" w:hAnsi="Times New Roman" w:eastAsia="方正仿宋_GBK" w:cs="方正仿宋_GBK"/>
          <w:b w:val="0"/>
          <w:bCs w:val="0"/>
          <w:i w:val="0"/>
          <w:iCs w:val="0"/>
          <w:caps w:val="0"/>
          <w:color w:val="000000"/>
          <w:spacing w:val="0"/>
          <w:sz w:val="32"/>
          <w:szCs w:val="32"/>
          <w:highlight w:val="none"/>
          <w:shd w:val="clear" w:color="auto" w:fill="FFFFFF"/>
        </w:rPr>
        <w:t>健全完善，</w:t>
      </w:r>
      <w:r>
        <w:rPr>
          <w:rFonts w:hint="eastAsia" w:ascii="Times New Roman" w:hAnsi="Times New Roman" w:eastAsia="方正仿宋_GBK" w:cs="方正仿宋_GBK"/>
          <w:b w:val="0"/>
          <w:bCs w:val="0"/>
          <w:color w:val="000000"/>
          <w:kern w:val="2"/>
          <w:sz w:val="32"/>
          <w:szCs w:val="32"/>
          <w:highlight w:val="none"/>
          <w:lang w:val="en-US" w:eastAsia="zh-CN" w:bidi="ar-SA"/>
        </w:rPr>
        <w:t>鼓励发展独立的失能评估机构</w:t>
      </w:r>
      <w:r>
        <w:rPr>
          <w:rFonts w:hint="eastAsia" w:ascii="Times New Roman" w:hAnsi="Times New Roman" w:eastAsia="方正仿宋_GBK" w:cs="方正仿宋_GBK"/>
          <w:b w:val="0"/>
          <w:bCs w:val="0"/>
          <w:i w:val="0"/>
          <w:iCs w:val="0"/>
          <w:caps w:val="0"/>
          <w:color w:val="000000"/>
          <w:spacing w:val="0"/>
          <w:sz w:val="32"/>
          <w:szCs w:val="32"/>
          <w:highlight w:val="none"/>
          <w:shd w:val="clear" w:color="auto" w:fill="FFFFFF"/>
        </w:rPr>
        <w:t>。</w:t>
      </w:r>
    </w:p>
    <w:p>
      <w:pPr>
        <w:keepNext/>
        <w:keepLines/>
        <w:pageBreakBefore w:val="0"/>
        <w:widowControl w:val="0"/>
        <w:kinsoku/>
        <w:wordWrap/>
        <w:overflowPunct/>
        <w:topLinePunct w:val="0"/>
        <w:autoSpaceDE/>
        <w:autoSpaceDN/>
        <w:bidi w:val="0"/>
        <w:adjustRightInd/>
        <w:snapToGrid/>
        <w:spacing w:beforeAutospacing="0" w:afterAutospacing="0" w:line="660" w:lineRule="exact"/>
        <w:ind w:firstLine="640" w:firstLineChars="200"/>
        <w:jc w:val="both"/>
        <w:textAlignment w:val="auto"/>
        <w:outlineLvl w:val="0"/>
        <w:rPr>
          <w:rFonts w:hint="eastAsia" w:ascii="Times New Roman" w:hAnsi="Times New Roman" w:eastAsia="方正黑体_GBK" w:cs="方正黑体_GBK"/>
          <w:b w:val="0"/>
          <w:bCs w:val="0"/>
          <w:color w:val="000000"/>
          <w:kern w:val="2"/>
          <w:sz w:val="32"/>
          <w:szCs w:val="32"/>
          <w:highlight w:val="none"/>
          <w:lang w:val="en-US" w:eastAsia="zh-CN" w:bidi="ar-SA"/>
        </w:rPr>
      </w:pPr>
      <w:r>
        <w:rPr>
          <w:rFonts w:hint="eastAsia" w:ascii="Times New Roman" w:hAnsi="Times New Roman" w:eastAsia="方正黑体_GBK" w:cs="方正黑体_GBK"/>
          <w:b w:val="0"/>
          <w:bCs w:val="0"/>
          <w:color w:val="000000"/>
          <w:kern w:val="2"/>
          <w:sz w:val="32"/>
          <w:szCs w:val="32"/>
          <w:highlight w:val="none"/>
          <w:lang w:val="en-US" w:eastAsia="zh-CN" w:bidi="ar-SA"/>
        </w:rPr>
        <w:t>二、机构上门护理项目和结算</w:t>
      </w:r>
    </w:p>
    <w:p>
      <w:pPr>
        <w:pageBreakBefore w:val="0"/>
        <w:widowControl/>
        <w:kinsoku/>
        <w:wordWrap/>
        <w:overflowPunct/>
        <w:topLinePunct w:val="0"/>
        <w:autoSpaceDE/>
        <w:autoSpaceDN/>
        <w:bidi w:val="0"/>
        <w:adjustRightInd/>
        <w:snapToGrid/>
        <w:spacing w:beforeAutospacing="0" w:afterAutospacing="0" w:line="660" w:lineRule="exact"/>
        <w:ind w:firstLine="640" w:firstLineChars="200"/>
        <w:jc w:val="both"/>
        <w:textAlignment w:val="auto"/>
        <w:rPr>
          <w:rFonts w:hint="eastAsia" w:ascii="Times New Roman" w:hAnsi="Times New Roman" w:eastAsia="方正楷体_GBK" w:cs="方正楷体_GBK"/>
          <w:b w:val="0"/>
          <w:bCs w:val="0"/>
          <w:color w:val="000000"/>
          <w:kern w:val="2"/>
          <w:sz w:val="32"/>
          <w:szCs w:val="32"/>
          <w:highlight w:val="none"/>
          <w:lang w:val="en-US" w:eastAsia="zh-CN" w:bidi="ar-SA"/>
        </w:rPr>
      </w:pPr>
      <w:r>
        <w:rPr>
          <w:rFonts w:hint="eastAsia" w:ascii="Times New Roman" w:hAnsi="Times New Roman" w:eastAsia="方正楷体_GBK" w:cs="方正楷体_GBK"/>
          <w:b w:val="0"/>
          <w:bCs w:val="0"/>
          <w:color w:val="000000"/>
          <w:kern w:val="2"/>
          <w:sz w:val="32"/>
          <w:szCs w:val="32"/>
          <w:highlight w:val="none"/>
          <w:lang w:val="en-US" w:eastAsia="zh-CN" w:bidi="ar-SA"/>
        </w:rPr>
        <w:t>（一）护理项目和服务项目组成调整</w:t>
      </w:r>
    </w:p>
    <w:p>
      <w:pPr>
        <w:pageBreakBefore w:val="0"/>
        <w:widowControl w:val="0"/>
        <w:kinsoku/>
        <w:wordWrap/>
        <w:overflowPunct/>
        <w:topLinePunct w:val="0"/>
        <w:autoSpaceDE/>
        <w:autoSpaceDN/>
        <w:bidi w:val="0"/>
        <w:adjustRightInd/>
        <w:snapToGrid/>
        <w:spacing w:beforeAutospacing="0" w:afterAutospacing="0" w:line="660" w:lineRule="exact"/>
        <w:ind w:firstLine="640" w:firstLineChars="200"/>
        <w:jc w:val="both"/>
        <w:textAlignment w:val="auto"/>
        <w:rPr>
          <w:rFonts w:hint="eastAsia" w:ascii="Times New Roman" w:hAnsi="Times New Roman" w:eastAsia="宋体" w:cs="Times New Roman"/>
          <w:b w:val="0"/>
          <w:bCs w:val="0"/>
          <w:color w:val="000000"/>
          <w:sz w:val="21"/>
          <w:szCs w:val="24"/>
          <w:highlight w:val="none"/>
          <w:lang w:val="en-US" w:eastAsia="zh-CN"/>
        </w:rPr>
      </w:pPr>
      <w:r>
        <w:rPr>
          <w:rFonts w:hint="eastAsia" w:ascii="Times New Roman" w:hAnsi="Times New Roman" w:eastAsia="方正仿宋_GBK" w:cs="方正仿宋_GBK"/>
          <w:b w:val="0"/>
          <w:bCs w:val="0"/>
          <w:color w:val="000000"/>
          <w:kern w:val="2"/>
          <w:sz w:val="32"/>
          <w:szCs w:val="32"/>
          <w:highlight w:val="none"/>
          <w:lang w:val="en-US" w:eastAsia="zh-CN" w:bidi="ar-SA"/>
        </w:rPr>
        <w:t>对部分护理服务项目的服务频次、服务项目组成、上门频次和服务时长等进行调整。详见附件1和附件2。</w:t>
      </w:r>
    </w:p>
    <w:p>
      <w:pPr>
        <w:pageBreakBefore w:val="0"/>
        <w:widowControl/>
        <w:kinsoku/>
        <w:wordWrap/>
        <w:overflowPunct/>
        <w:topLinePunct w:val="0"/>
        <w:autoSpaceDE/>
        <w:autoSpaceDN/>
        <w:bidi w:val="0"/>
        <w:adjustRightInd/>
        <w:snapToGrid/>
        <w:spacing w:beforeAutospacing="0" w:afterAutospacing="0" w:line="660" w:lineRule="exact"/>
        <w:ind w:firstLine="640" w:firstLineChars="200"/>
        <w:jc w:val="both"/>
        <w:textAlignment w:val="auto"/>
        <w:rPr>
          <w:rFonts w:hint="eastAsia" w:ascii="Times New Roman" w:hAnsi="Times New Roman" w:eastAsia="方正楷体_GBK" w:cs="方正楷体_GBK"/>
          <w:b w:val="0"/>
          <w:bCs w:val="0"/>
          <w:color w:val="000000"/>
          <w:kern w:val="2"/>
          <w:sz w:val="32"/>
          <w:szCs w:val="32"/>
          <w:highlight w:val="none"/>
          <w:lang w:val="en-US" w:eastAsia="zh-CN" w:bidi="ar-SA"/>
        </w:rPr>
      </w:pPr>
      <w:r>
        <w:rPr>
          <w:rFonts w:hint="eastAsia" w:ascii="Times New Roman" w:hAnsi="Times New Roman" w:eastAsia="方正楷体_GBK" w:cs="方正楷体_GBK"/>
          <w:b w:val="0"/>
          <w:bCs w:val="0"/>
          <w:color w:val="000000"/>
          <w:kern w:val="2"/>
          <w:sz w:val="32"/>
          <w:szCs w:val="32"/>
          <w:highlight w:val="none"/>
          <w:lang w:val="en-US" w:eastAsia="zh-CN" w:bidi="ar-SA"/>
        </w:rPr>
        <w:t>（二）结算方式和标准调整</w:t>
      </w:r>
    </w:p>
    <w:p>
      <w:pPr>
        <w:pageBreakBefore w:val="0"/>
        <w:widowControl w:val="0"/>
        <w:kinsoku/>
        <w:wordWrap/>
        <w:overflowPunct/>
        <w:topLinePunct w:val="0"/>
        <w:autoSpaceDE/>
        <w:autoSpaceDN/>
        <w:bidi w:val="0"/>
        <w:adjustRightInd/>
        <w:snapToGrid/>
        <w:spacing w:beforeAutospacing="0" w:afterAutospacing="0" w:line="660" w:lineRule="exact"/>
        <w:ind w:firstLine="640" w:firstLineChars="200"/>
        <w:jc w:val="both"/>
        <w:textAlignment w:val="auto"/>
        <w:rPr>
          <w:rFonts w:hint="default" w:ascii="Times New Roman" w:hAnsi="Times New Roman" w:eastAsia="方正仿宋_GBK" w:cs="方正仿宋_GBK"/>
          <w:b w:val="0"/>
          <w:bCs w:val="0"/>
          <w:color w:val="000000"/>
          <w:kern w:val="2"/>
          <w:sz w:val="32"/>
          <w:szCs w:val="32"/>
          <w:highlight w:val="none"/>
          <w:lang w:val="en-US" w:eastAsia="zh-CN" w:bidi="ar-SA"/>
        </w:rPr>
      </w:pPr>
      <w:r>
        <w:rPr>
          <w:rFonts w:hint="eastAsia" w:ascii="Times New Roman" w:hAnsi="Times New Roman" w:eastAsia="方正仿宋_GBK" w:cs="方正仿宋_GBK"/>
          <w:b w:val="0"/>
          <w:bCs w:val="0"/>
          <w:color w:val="000000"/>
          <w:kern w:val="2"/>
          <w:sz w:val="32"/>
          <w:szCs w:val="32"/>
          <w:highlight w:val="none"/>
          <w:lang w:val="en-US" w:eastAsia="zh-CN" w:bidi="ar-SA"/>
        </w:rPr>
        <w:t>机构上门护理（含居家组合护理中机构护理，后同）结算方式调整为按次结算，结算标准75元/次。</w:t>
      </w:r>
    </w:p>
    <w:p>
      <w:pPr>
        <w:pageBreakBefore w:val="0"/>
        <w:widowControl w:val="0"/>
        <w:kinsoku/>
        <w:wordWrap/>
        <w:overflowPunct/>
        <w:topLinePunct w:val="0"/>
        <w:autoSpaceDE/>
        <w:autoSpaceDN/>
        <w:bidi w:val="0"/>
        <w:adjustRightInd/>
        <w:snapToGrid/>
        <w:spacing w:beforeAutospacing="0" w:afterAutospacing="0" w:line="660" w:lineRule="exact"/>
        <w:ind w:firstLine="640" w:firstLineChars="200"/>
        <w:jc w:val="both"/>
        <w:textAlignment w:val="auto"/>
        <w:rPr>
          <w:rFonts w:hint="eastAsia" w:ascii="Times New Roman" w:hAnsi="Times New Roman" w:eastAsia="方正仿宋_GBK" w:cs="方正仿宋_GBK"/>
          <w:b w:val="0"/>
          <w:bCs w:val="0"/>
          <w:color w:val="000000"/>
          <w:kern w:val="2"/>
          <w:sz w:val="32"/>
          <w:szCs w:val="32"/>
          <w:highlight w:val="none"/>
          <w:lang w:val="en-US" w:eastAsia="zh-CN" w:bidi="ar-SA"/>
        </w:rPr>
      </w:pPr>
      <w:r>
        <w:rPr>
          <w:rFonts w:hint="eastAsia" w:ascii="Times New Roman" w:hAnsi="Times New Roman" w:eastAsia="方正仿宋_GBK" w:cs="方正仿宋_GBK"/>
          <w:b w:val="0"/>
          <w:bCs w:val="0"/>
          <w:color w:val="000000"/>
          <w:kern w:val="2"/>
          <w:sz w:val="32"/>
          <w:szCs w:val="32"/>
          <w:highlight w:val="none"/>
          <w:lang w:val="en-US" w:eastAsia="zh-CN" w:bidi="ar-SA"/>
        </w:rPr>
        <w:t>重度失能人员居家组合护理中机构护理每月结算不高于12次；机构上门护理每月结算不高于24次。</w:t>
      </w:r>
    </w:p>
    <w:p>
      <w:pPr>
        <w:pageBreakBefore w:val="0"/>
        <w:widowControl w:val="0"/>
        <w:kinsoku/>
        <w:wordWrap/>
        <w:overflowPunct/>
        <w:topLinePunct w:val="0"/>
        <w:autoSpaceDE/>
        <w:autoSpaceDN/>
        <w:bidi w:val="0"/>
        <w:adjustRightInd/>
        <w:snapToGrid/>
        <w:spacing w:beforeAutospacing="0" w:afterAutospacing="0" w:line="660" w:lineRule="exact"/>
        <w:ind w:firstLine="640" w:firstLineChars="200"/>
        <w:jc w:val="both"/>
        <w:textAlignment w:val="auto"/>
        <w:rPr>
          <w:rFonts w:hint="eastAsia" w:ascii="Times New Roman" w:hAnsi="Times New Roman" w:eastAsia="方正仿宋_GBK" w:cs="方正仿宋_GBK"/>
          <w:b w:val="0"/>
          <w:bCs w:val="0"/>
          <w:color w:val="000000"/>
          <w:kern w:val="2"/>
          <w:sz w:val="32"/>
          <w:szCs w:val="32"/>
          <w:highlight w:val="none"/>
          <w:lang w:val="en-US" w:eastAsia="zh-CN" w:bidi="ar-SA"/>
        </w:rPr>
      </w:pPr>
      <w:r>
        <w:rPr>
          <w:rFonts w:hint="eastAsia" w:ascii="Times New Roman" w:hAnsi="Times New Roman" w:eastAsia="方正仿宋_GBK" w:cs="方正仿宋_GBK"/>
          <w:b w:val="0"/>
          <w:bCs w:val="0"/>
          <w:color w:val="000000"/>
          <w:kern w:val="2"/>
          <w:sz w:val="32"/>
          <w:szCs w:val="32"/>
          <w:highlight w:val="none"/>
          <w:lang w:val="en-US" w:eastAsia="zh-CN" w:bidi="ar-SA"/>
        </w:rPr>
        <w:t>中度失能人员居家组合护理中机构护理每月结算不高于5次；机构上门护理每月结算不高于8次。</w:t>
      </w:r>
    </w:p>
    <w:p>
      <w:pPr>
        <w:keepNext/>
        <w:keepLines/>
        <w:pageBreakBefore w:val="0"/>
        <w:widowControl w:val="0"/>
        <w:kinsoku/>
        <w:wordWrap/>
        <w:overflowPunct/>
        <w:topLinePunct w:val="0"/>
        <w:autoSpaceDE/>
        <w:autoSpaceDN/>
        <w:bidi w:val="0"/>
        <w:adjustRightInd/>
        <w:snapToGrid/>
        <w:spacing w:beforeAutospacing="0" w:afterAutospacing="0" w:line="660" w:lineRule="exact"/>
        <w:ind w:firstLine="640" w:firstLineChars="200"/>
        <w:jc w:val="both"/>
        <w:textAlignment w:val="auto"/>
        <w:outlineLvl w:val="0"/>
        <w:rPr>
          <w:rFonts w:hint="eastAsia" w:ascii="Times New Roman" w:hAnsi="Times New Roman" w:eastAsia="方正黑体_GBK" w:cs="方正黑体_GBK"/>
          <w:b w:val="0"/>
          <w:bCs w:val="0"/>
          <w:color w:val="000000"/>
          <w:kern w:val="2"/>
          <w:sz w:val="32"/>
          <w:szCs w:val="32"/>
          <w:highlight w:val="none"/>
          <w:lang w:val="en-US" w:eastAsia="zh-CN" w:bidi="ar-SA"/>
        </w:rPr>
      </w:pPr>
      <w:r>
        <w:rPr>
          <w:rFonts w:hint="eastAsia" w:ascii="Times New Roman" w:hAnsi="Times New Roman" w:eastAsia="方正黑体_GBK" w:cs="方正黑体_GBK"/>
          <w:b w:val="0"/>
          <w:bCs w:val="0"/>
          <w:color w:val="000000"/>
          <w:kern w:val="2"/>
          <w:sz w:val="32"/>
          <w:szCs w:val="32"/>
          <w:highlight w:val="none"/>
          <w:lang w:val="en-US" w:eastAsia="zh-CN" w:bidi="ar-SA"/>
        </w:rPr>
        <w:t>三、其他</w:t>
      </w:r>
    </w:p>
    <w:p>
      <w:pPr>
        <w:pageBreakBefore w:val="0"/>
        <w:widowControl w:val="0"/>
        <w:kinsoku/>
        <w:wordWrap/>
        <w:overflowPunct/>
        <w:topLinePunct w:val="0"/>
        <w:autoSpaceDE/>
        <w:autoSpaceDN/>
        <w:bidi w:val="0"/>
        <w:adjustRightInd/>
        <w:snapToGrid/>
        <w:spacing w:beforeAutospacing="0" w:afterAutospacing="0" w:line="660" w:lineRule="exact"/>
        <w:ind w:firstLine="640" w:firstLineChars="200"/>
        <w:jc w:val="both"/>
        <w:textAlignment w:val="auto"/>
        <w:rPr>
          <w:rFonts w:hint="eastAsia" w:ascii="Times New Roman" w:hAnsi="Times New Roman" w:eastAsia="方正仿宋_GBK" w:cs="方正仿宋_GBK"/>
          <w:b w:val="0"/>
          <w:bCs w:val="0"/>
          <w:color w:val="000000"/>
          <w:kern w:val="2"/>
          <w:sz w:val="32"/>
          <w:szCs w:val="32"/>
          <w:highlight w:val="none"/>
          <w:lang w:val="en-US" w:eastAsia="zh-CN" w:bidi="ar-SA"/>
        </w:rPr>
      </w:pPr>
      <w:r>
        <w:rPr>
          <w:rFonts w:hint="eastAsia" w:ascii="Times New Roman" w:hAnsi="Times New Roman" w:eastAsia="方正仿宋_GBK" w:cs="方正仿宋_GBK"/>
          <w:b w:val="0"/>
          <w:bCs w:val="0"/>
          <w:color w:val="000000"/>
          <w:kern w:val="2"/>
          <w:sz w:val="32"/>
          <w:szCs w:val="32"/>
          <w:highlight w:val="none"/>
          <w:lang w:val="en-US" w:eastAsia="zh-CN" w:bidi="ar-SA"/>
        </w:rPr>
        <w:t>本通知自2025年8月1日起实施。此前有关规定与本通知不一致的，以本通知为准。</w:t>
      </w:r>
    </w:p>
    <w:p>
      <w:pPr>
        <w:pageBreakBefore w:val="0"/>
        <w:widowControl w:val="0"/>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Times New Roman" w:hAnsi="Times New Roman" w:eastAsia="方正仿宋_GBK" w:cs="方正仿宋_GBK"/>
          <w:b w:val="0"/>
          <w:bCs w:val="0"/>
          <w:color w:val="000000"/>
          <w:kern w:val="2"/>
          <w:sz w:val="32"/>
          <w:szCs w:val="32"/>
          <w:highlight w:val="none"/>
          <w:lang w:val="en-US" w:eastAsia="zh-CN" w:bidi="ar-SA"/>
        </w:rPr>
      </w:pPr>
    </w:p>
    <w:p>
      <w:pPr>
        <w:pageBreakBefore w:val="0"/>
        <w:widowControl w:val="0"/>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Times New Roman" w:hAnsi="Times New Roman" w:eastAsia="方正仿宋_GBK" w:cs="方正仿宋_GBK"/>
          <w:b w:val="0"/>
          <w:bCs w:val="0"/>
          <w:color w:val="000000"/>
          <w:kern w:val="2"/>
          <w:sz w:val="32"/>
          <w:szCs w:val="32"/>
          <w:highlight w:val="none"/>
          <w:lang w:val="en-US" w:eastAsia="zh-CN" w:bidi="ar-SA"/>
        </w:rPr>
      </w:pPr>
      <w:r>
        <w:rPr>
          <w:rFonts w:hint="eastAsia" w:ascii="Times New Roman" w:hAnsi="Times New Roman" w:eastAsia="方正仿宋_GBK" w:cs="方正仿宋_GBK"/>
          <w:b w:val="0"/>
          <w:bCs w:val="0"/>
          <w:color w:val="000000"/>
          <w:kern w:val="2"/>
          <w:sz w:val="32"/>
          <w:szCs w:val="32"/>
          <w:highlight w:val="none"/>
          <w:lang w:val="en-US" w:eastAsia="zh-CN" w:bidi="ar-SA"/>
        </w:rPr>
        <w:t>附件：1</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000000"/>
          <w:kern w:val="2"/>
          <w:sz w:val="32"/>
          <w:szCs w:val="32"/>
          <w:highlight w:val="none"/>
          <w:lang w:val="en-US" w:eastAsia="zh-CN" w:bidi="ar-SA"/>
        </w:rPr>
        <w:t>重庆市长期护理保险服务项目</w:t>
      </w:r>
    </w:p>
    <w:p>
      <w:pPr>
        <w:pageBreakBefore w:val="0"/>
        <w:widowControl w:val="0"/>
        <w:kinsoku/>
        <w:wordWrap/>
        <w:overflowPunct/>
        <w:topLinePunct w:val="0"/>
        <w:autoSpaceDE/>
        <w:autoSpaceDN/>
        <w:bidi w:val="0"/>
        <w:adjustRightInd/>
        <w:snapToGrid/>
        <w:spacing w:beforeAutospacing="0" w:afterAutospacing="0" w:line="620" w:lineRule="exact"/>
        <w:ind w:firstLine="1600" w:firstLineChars="500"/>
        <w:jc w:val="both"/>
        <w:textAlignment w:val="auto"/>
        <w:rPr>
          <w:rFonts w:hint="eastAsia" w:ascii="Times New Roman" w:hAnsi="Times New Roman" w:eastAsia="方正仿宋_GBK" w:cs="方正仿宋_GBK"/>
          <w:b w:val="0"/>
          <w:bCs w:val="0"/>
          <w:color w:val="000000"/>
          <w:kern w:val="2"/>
          <w:sz w:val="32"/>
          <w:szCs w:val="32"/>
          <w:highlight w:val="none"/>
          <w:lang w:val="en-US" w:eastAsia="zh-CN" w:bidi="ar-SA"/>
        </w:rPr>
      </w:pPr>
      <w:r>
        <w:rPr>
          <w:rFonts w:hint="eastAsia" w:ascii="Times New Roman" w:hAnsi="Times New Roman" w:eastAsia="方正仿宋_GBK" w:cs="方正仿宋_GBK"/>
          <w:b w:val="0"/>
          <w:bCs w:val="0"/>
          <w:color w:val="000000"/>
          <w:kern w:val="2"/>
          <w:sz w:val="32"/>
          <w:szCs w:val="32"/>
          <w:highlight w:val="none"/>
          <w:lang w:val="en-US" w:eastAsia="zh-CN" w:bidi="ar-SA"/>
        </w:rPr>
        <w:t>2．待遇享受人员服务项目组成</w:t>
      </w:r>
    </w:p>
    <w:p>
      <w:pPr>
        <w:keepNext/>
        <w:keepLines/>
        <w:pageBreakBefore w:val="0"/>
        <w:widowControl w:val="0"/>
        <w:kinsoku/>
        <w:wordWrap/>
        <w:overflowPunct/>
        <w:topLinePunct w:val="0"/>
        <w:autoSpaceDE/>
        <w:autoSpaceDN/>
        <w:bidi w:val="0"/>
        <w:adjustRightInd/>
        <w:snapToGrid/>
        <w:spacing w:beforeAutospacing="0" w:afterAutospacing="0" w:line="620" w:lineRule="exact"/>
        <w:ind w:firstLine="5120" w:firstLineChars="1600"/>
        <w:jc w:val="both"/>
        <w:textAlignment w:val="auto"/>
        <w:outlineLvl w:val="0"/>
        <w:rPr>
          <w:rFonts w:hint="eastAsia" w:ascii="Times New Roman" w:hAnsi="Times New Roman" w:eastAsia="方正仿宋_GBK" w:cs="方正仿宋_GBK"/>
          <w:b w:val="0"/>
          <w:bCs w:val="0"/>
          <w:color w:val="000000"/>
          <w:kern w:val="2"/>
          <w:sz w:val="32"/>
          <w:szCs w:val="32"/>
          <w:highlight w:val="none"/>
          <w:lang w:val="en-US" w:eastAsia="zh-CN" w:bidi="ar-SA"/>
        </w:rPr>
      </w:pPr>
    </w:p>
    <w:p>
      <w:pPr>
        <w:keepNext/>
        <w:keepLines/>
        <w:pageBreakBefore w:val="0"/>
        <w:widowControl w:val="0"/>
        <w:kinsoku/>
        <w:wordWrap/>
        <w:overflowPunct/>
        <w:topLinePunct w:val="0"/>
        <w:autoSpaceDE/>
        <w:autoSpaceDN/>
        <w:bidi w:val="0"/>
        <w:adjustRightInd/>
        <w:snapToGrid/>
        <w:spacing w:beforeAutospacing="0" w:afterAutospacing="0" w:line="620" w:lineRule="exact"/>
        <w:ind w:firstLine="5120" w:firstLineChars="1600"/>
        <w:jc w:val="both"/>
        <w:textAlignment w:val="auto"/>
        <w:outlineLvl w:val="0"/>
        <w:rPr>
          <w:rFonts w:hint="eastAsia" w:ascii="Times New Roman" w:hAnsi="Times New Roman" w:eastAsia="方正仿宋_GBK" w:cs="方正仿宋_GBK"/>
          <w:b w:val="0"/>
          <w:bCs w:val="0"/>
          <w:color w:val="000000"/>
          <w:kern w:val="2"/>
          <w:sz w:val="32"/>
          <w:szCs w:val="32"/>
          <w:highlight w:val="none"/>
          <w:lang w:val="en-US" w:eastAsia="zh-CN" w:bidi="ar-SA"/>
        </w:rPr>
      </w:pPr>
    </w:p>
    <w:p>
      <w:pPr>
        <w:keepNext/>
        <w:keepLines/>
        <w:pageBreakBefore w:val="0"/>
        <w:widowControl w:val="0"/>
        <w:kinsoku/>
        <w:wordWrap/>
        <w:overflowPunct/>
        <w:topLinePunct w:val="0"/>
        <w:autoSpaceDE/>
        <w:autoSpaceDN/>
        <w:bidi w:val="0"/>
        <w:adjustRightInd/>
        <w:snapToGrid/>
        <w:spacing w:beforeAutospacing="0" w:afterAutospacing="0" w:line="620" w:lineRule="exact"/>
        <w:ind w:right="840" w:rightChars="400" w:firstLine="0" w:firstLineChars="0"/>
        <w:jc w:val="right"/>
        <w:textAlignment w:val="auto"/>
        <w:outlineLvl w:val="9"/>
        <w:rPr>
          <w:rFonts w:hint="eastAsia" w:ascii="Times New Roman" w:hAnsi="Times New Roman" w:eastAsia="方正仿宋_GBK" w:cs="方正仿宋_GBK"/>
          <w:b w:val="0"/>
          <w:bCs w:val="0"/>
          <w:color w:val="000000"/>
          <w:kern w:val="2"/>
          <w:sz w:val="32"/>
          <w:szCs w:val="32"/>
          <w:highlight w:val="none"/>
          <w:lang w:val="en-US" w:eastAsia="zh-CN" w:bidi="ar-SA"/>
        </w:rPr>
      </w:pPr>
      <w:r>
        <w:rPr>
          <w:rFonts w:hint="eastAsia" w:ascii="Times New Roman" w:hAnsi="Times New Roman" w:eastAsia="方正仿宋_GBK" w:cs="方正仿宋_GBK"/>
          <w:b w:val="0"/>
          <w:bCs w:val="0"/>
          <w:color w:val="000000"/>
          <w:kern w:val="2"/>
          <w:sz w:val="32"/>
          <w:szCs w:val="32"/>
          <w:highlight w:val="none"/>
          <w:lang w:val="en-US" w:eastAsia="zh-CN" w:bidi="ar-SA"/>
        </w:rPr>
        <w:t>重庆市医疗保障局</w:t>
      </w:r>
    </w:p>
    <w:p>
      <w:pPr>
        <w:pageBreakBefore w:val="0"/>
        <w:widowControl w:val="0"/>
        <w:kinsoku/>
        <w:wordWrap/>
        <w:overflowPunct/>
        <w:topLinePunct w:val="0"/>
        <w:autoSpaceDE/>
        <w:autoSpaceDN/>
        <w:bidi w:val="0"/>
        <w:adjustRightInd/>
        <w:snapToGrid/>
        <w:spacing w:beforeAutospacing="0" w:afterAutospacing="0" w:line="620" w:lineRule="exact"/>
        <w:ind w:right="840" w:rightChars="400" w:firstLine="0" w:firstLineChars="0"/>
        <w:jc w:val="right"/>
        <w:textAlignment w:val="auto"/>
        <w:outlineLvl w:val="9"/>
        <w:rPr>
          <w:rFonts w:hint="eastAsia" w:ascii="Times New Roman" w:hAnsi="Times New Roman" w:eastAsia="方正仿宋_GBK" w:cs="方正仿宋_GBK"/>
          <w:b w:val="0"/>
          <w:bCs w:val="0"/>
          <w:color w:val="000000"/>
          <w:kern w:val="2"/>
          <w:sz w:val="32"/>
          <w:szCs w:val="32"/>
          <w:highlight w:val="none"/>
          <w:lang w:val="en-US" w:eastAsia="zh-CN" w:bidi="ar-SA"/>
        </w:rPr>
      </w:pPr>
      <w:r>
        <w:rPr>
          <w:rFonts w:hint="eastAsia" w:ascii="Times New Roman" w:hAnsi="Times New Roman" w:eastAsia="方正仿宋_GBK" w:cs="方正仿宋_GBK"/>
          <w:b w:val="0"/>
          <w:bCs w:val="0"/>
          <w:color w:val="000000"/>
          <w:kern w:val="2"/>
          <w:sz w:val="32"/>
          <w:szCs w:val="32"/>
          <w:highlight w:val="none"/>
          <w:lang w:val="en-US" w:eastAsia="zh-CN" w:bidi="ar-SA"/>
        </w:rPr>
        <w:t>2025年4月30日</w:t>
      </w:r>
    </w:p>
    <w:p>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textAlignment w:val="auto"/>
        <w:rPr>
          <w:rFonts w:ascii="方正仿宋_GBK" w:hAnsi="Calibri" w:eastAsia="方正仿宋_GBK" w:cs="Times New Roman"/>
          <w:color w:val="000000"/>
          <w:sz w:val="32"/>
          <w:szCs w:val="20"/>
        </w:rPr>
      </w:pPr>
      <w:r>
        <w:rPr>
          <w:rFonts w:hint="eastAsia" w:ascii="方正仿宋_GBK" w:hAnsi="Calibri" w:eastAsia="方正仿宋_GBK" w:cs="Times New Roman"/>
          <w:color w:val="000000"/>
          <w:sz w:val="32"/>
          <w:szCs w:val="20"/>
        </w:rPr>
        <w:t>（</w:t>
      </w:r>
      <w:bookmarkStart w:id="0" w:name="公开发送"/>
      <w:r>
        <w:rPr>
          <w:rFonts w:hint="eastAsia" w:ascii="方正仿宋_GBK" w:hAnsi="Calibri" w:eastAsia="方正仿宋_GBK" w:cs="Times New Roman"/>
          <w:color w:val="000000"/>
          <w:sz w:val="32"/>
          <w:szCs w:val="20"/>
          <w:lang w:val="en-US" w:eastAsia="zh-CN"/>
        </w:rPr>
        <w:t>此件</w:t>
      </w:r>
      <w:bookmarkEnd w:id="0"/>
      <w:r>
        <w:rPr>
          <w:rFonts w:hint="eastAsia" w:ascii="方正仿宋_GBK" w:hAnsi="Calibri" w:eastAsia="方正仿宋_GBK" w:cs="Times New Roman"/>
          <w:color w:val="000000"/>
          <w:sz w:val="32"/>
          <w:szCs w:val="20"/>
          <w:lang w:eastAsia="zh-CN"/>
        </w:rPr>
        <w:t>公开发布</w:t>
      </w:r>
      <w:r>
        <w:rPr>
          <w:rFonts w:hint="eastAsia" w:ascii="方正仿宋_GBK" w:hAnsi="Calibri" w:eastAsia="方正仿宋_GBK" w:cs="Times New Roman"/>
          <w:color w:val="000000"/>
          <w:sz w:val="32"/>
          <w:szCs w:val="20"/>
        </w:rPr>
        <w:t>）</w:t>
      </w:r>
    </w:p>
    <w:p>
      <w:pPr>
        <w:pStyle w:val="2"/>
        <w:pageBreakBefore w:val="0"/>
        <w:kinsoku/>
        <w:wordWrap/>
        <w:overflowPunct/>
        <w:topLinePunct w:val="0"/>
        <w:autoSpaceDE/>
        <w:autoSpaceDN/>
        <w:bidi w:val="0"/>
        <w:spacing w:before="0" w:beforeAutospacing="0" w:after="0" w:afterAutospacing="0" w:line="62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620" w:lineRule="exact"/>
        <w:ind w:left="0" w:firstLine="640" w:firstLineChars="200"/>
        <w:jc w:val="both"/>
        <w:textAlignment w:val="auto"/>
        <w:rPr>
          <w:rFonts w:hint="default" w:ascii="Times New Roman" w:hAnsi="Times New Roman" w:eastAsia="方正仿宋_GBK" w:cs="Times New Roman"/>
          <w:snapToGrid w:val="0"/>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620" w:lineRule="exact"/>
        <w:ind w:left="0" w:firstLine="640" w:firstLineChars="200"/>
        <w:jc w:val="both"/>
        <w:textAlignment w:val="auto"/>
        <w:rPr>
          <w:rFonts w:hint="default" w:ascii="Times New Roman" w:hAnsi="Times New Roman" w:eastAsia="方正仿宋_GBK" w:cs="Times New Roman"/>
          <w:snapToGrid w:val="0"/>
          <w:color w:val="auto"/>
          <w:sz w:val="32"/>
          <w:szCs w:val="32"/>
        </w:rPr>
        <w:sectPr>
          <w:headerReference r:id="rId3" w:type="default"/>
          <w:footerReference r:id="rId4" w:type="default"/>
          <w:pgSz w:w="11906" w:h="16838"/>
          <w:pgMar w:top="1962" w:right="1474" w:bottom="1848" w:left="1587" w:header="851" w:footer="992" w:gutter="0"/>
          <w:paperSrc/>
          <w:pgNumType w:fmt="numberInDash"/>
          <w:cols w:space="0" w:num="1"/>
          <w:rtlGutter w:val="0"/>
          <w:docGrid w:type="lines" w:linePitch="318" w:charSpace="0"/>
        </w:sectPr>
      </w:pPr>
    </w:p>
    <w:p>
      <w:pPr>
        <w:spacing w:line="480" w:lineRule="exact"/>
        <w:rPr>
          <w:rFonts w:hint="eastAsia" w:ascii="Times New Roman" w:hAnsi="Times New Roman" w:eastAsia="方正黑体_GBK" w:cs="方正黑体_GBK"/>
          <w:b w:val="0"/>
          <w:bCs w:val="0"/>
          <w:color w:val="auto"/>
          <w:sz w:val="32"/>
          <w:szCs w:val="32"/>
          <w:highlight w:val="none"/>
        </w:rPr>
      </w:pPr>
      <w:r>
        <w:rPr>
          <w:rFonts w:hint="eastAsia" w:ascii="Times New Roman" w:hAnsi="Times New Roman" w:eastAsia="方正黑体_GBK" w:cs="方正黑体_GBK"/>
          <w:b w:val="0"/>
          <w:bCs w:val="0"/>
          <w:color w:val="auto"/>
          <w:sz w:val="32"/>
          <w:szCs w:val="32"/>
          <w:highlight w:val="none"/>
        </w:rPr>
        <w:t>附件1</w:t>
      </w:r>
    </w:p>
    <w:p>
      <w:pPr>
        <w:spacing w:line="594" w:lineRule="exact"/>
        <w:jc w:val="center"/>
        <w:rPr>
          <w:rFonts w:ascii="Times New Roman" w:hAnsi="Times New Roman" w:eastAsia="方正小标宋_GBK" w:cs="Times New Roman"/>
          <w:b w:val="0"/>
          <w:bCs w:val="0"/>
          <w:color w:val="auto"/>
          <w:sz w:val="44"/>
          <w:szCs w:val="44"/>
          <w:highlight w:val="none"/>
        </w:rPr>
      </w:pPr>
      <w:r>
        <w:rPr>
          <w:rFonts w:ascii="Times New Roman" w:hAnsi="Times New Roman" w:eastAsia="方正小标宋_GBK" w:cs="Times New Roman"/>
          <w:b w:val="0"/>
          <w:bCs w:val="0"/>
          <w:color w:val="auto"/>
          <w:sz w:val="44"/>
          <w:szCs w:val="44"/>
          <w:highlight w:val="none"/>
        </w:rPr>
        <w:t>重庆市长期护理保险服务项目</w:t>
      </w:r>
    </w:p>
    <w:p>
      <w:pPr>
        <w:spacing w:line="594" w:lineRule="exact"/>
        <w:jc w:val="center"/>
        <w:rPr>
          <w:rFonts w:ascii="Times New Roman" w:hAnsi="Times New Roman" w:eastAsia="方正小标宋简体" w:cs="Times New Roman"/>
          <w:b w:val="0"/>
          <w:bCs w:val="0"/>
          <w:color w:val="auto"/>
          <w:sz w:val="15"/>
          <w:szCs w:val="15"/>
          <w:highlight w:val="none"/>
        </w:rPr>
      </w:pPr>
    </w:p>
    <w:tbl>
      <w:tblPr>
        <w:tblStyle w:val="8"/>
        <w:tblW w:w="4997" w:type="pct"/>
        <w:jc w:val="center"/>
        <w:tblLayout w:type="autofit"/>
        <w:tblCellMar>
          <w:top w:w="0" w:type="dxa"/>
          <w:left w:w="108" w:type="dxa"/>
          <w:bottom w:w="0" w:type="dxa"/>
          <w:right w:w="108" w:type="dxa"/>
        </w:tblCellMar>
      </w:tblPr>
      <w:tblGrid>
        <w:gridCol w:w="531"/>
        <w:gridCol w:w="571"/>
        <w:gridCol w:w="1743"/>
        <w:gridCol w:w="1911"/>
        <w:gridCol w:w="2443"/>
        <w:gridCol w:w="1721"/>
        <w:gridCol w:w="1676"/>
        <w:gridCol w:w="1699"/>
        <w:gridCol w:w="1690"/>
      </w:tblGrid>
      <w:tr>
        <w:tblPrEx>
          <w:tblCellMar>
            <w:top w:w="0" w:type="dxa"/>
            <w:left w:w="108" w:type="dxa"/>
            <w:bottom w:w="0" w:type="dxa"/>
            <w:right w:w="108" w:type="dxa"/>
          </w:tblCellMar>
        </w:tblPrEx>
        <w:trPr>
          <w:trHeight w:val="336" w:hRule="atLeast"/>
          <w:jc w:val="center"/>
        </w:trPr>
        <w:tc>
          <w:tcPr>
            <w:tcW w:w="190" w:type="pct"/>
            <w:vMerge w:val="restart"/>
            <w:tcBorders>
              <w:top w:val="single" w:color="auto" w:sz="4" w:space="0"/>
              <w:left w:val="single" w:color="auto" w:sz="4" w:space="0"/>
              <w:right w:val="single" w:color="auto" w:sz="4" w:space="0"/>
            </w:tcBorders>
            <w:noWrap w:val="0"/>
            <w:vAlign w:val="center"/>
          </w:tcPr>
          <w:p>
            <w:pPr>
              <w:widowControl/>
              <w:snapToGrid w:val="0"/>
              <w:spacing w:line="400" w:lineRule="exact"/>
              <w:jc w:val="center"/>
              <w:rPr>
                <w:rFonts w:ascii="Times New Roman" w:hAnsi="Times New Roman" w:eastAsia="方正黑体_GBK" w:cs="方正黑体_GBK"/>
                <w:b w:val="0"/>
                <w:bCs w:val="0"/>
                <w:color w:val="auto"/>
                <w:kern w:val="0"/>
                <w:sz w:val="28"/>
                <w:szCs w:val="28"/>
                <w:highlight w:val="none"/>
              </w:rPr>
            </w:pPr>
            <w:r>
              <w:rPr>
                <w:rFonts w:hint="eastAsia" w:ascii="Times New Roman" w:hAnsi="Times New Roman" w:eastAsia="方正黑体_GBK" w:cs="方正黑体_GBK"/>
                <w:b w:val="0"/>
                <w:bCs w:val="0"/>
                <w:color w:val="auto"/>
                <w:kern w:val="0"/>
                <w:sz w:val="28"/>
                <w:szCs w:val="28"/>
                <w:highlight w:val="none"/>
              </w:rPr>
              <w:t>序号</w:t>
            </w:r>
          </w:p>
        </w:tc>
        <w:tc>
          <w:tcPr>
            <w:tcW w:w="204" w:type="pct"/>
            <w:vMerge w:val="restart"/>
            <w:tcBorders>
              <w:top w:val="single" w:color="auto" w:sz="4" w:space="0"/>
              <w:left w:val="nil"/>
              <w:right w:val="single" w:color="auto" w:sz="4" w:space="0"/>
            </w:tcBorders>
            <w:noWrap w:val="0"/>
            <w:vAlign w:val="center"/>
          </w:tcPr>
          <w:p>
            <w:pPr>
              <w:widowControl/>
              <w:snapToGrid w:val="0"/>
              <w:spacing w:line="400" w:lineRule="exact"/>
              <w:jc w:val="center"/>
              <w:rPr>
                <w:rFonts w:ascii="Times New Roman" w:hAnsi="Times New Roman" w:eastAsia="方正黑体_GBK" w:cs="方正黑体_GBK"/>
                <w:b w:val="0"/>
                <w:bCs w:val="0"/>
                <w:color w:val="auto"/>
                <w:kern w:val="0"/>
                <w:sz w:val="28"/>
                <w:szCs w:val="28"/>
                <w:highlight w:val="none"/>
              </w:rPr>
            </w:pPr>
            <w:r>
              <w:rPr>
                <w:rFonts w:hint="eastAsia" w:ascii="Times New Roman" w:hAnsi="Times New Roman" w:eastAsia="方正黑体_GBK" w:cs="方正黑体_GBK"/>
                <w:b w:val="0"/>
                <w:bCs w:val="0"/>
                <w:color w:val="auto"/>
                <w:kern w:val="0"/>
                <w:sz w:val="28"/>
                <w:szCs w:val="28"/>
                <w:highlight w:val="none"/>
              </w:rPr>
              <w:t>分类</w:t>
            </w:r>
          </w:p>
        </w:tc>
        <w:tc>
          <w:tcPr>
            <w:tcW w:w="623" w:type="pct"/>
            <w:vMerge w:val="restart"/>
            <w:tcBorders>
              <w:top w:val="single" w:color="auto" w:sz="4" w:space="0"/>
              <w:left w:val="nil"/>
              <w:right w:val="single" w:color="auto" w:sz="4" w:space="0"/>
            </w:tcBorders>
            <w:noWrap w:val="0"/>
            <w:vAlign w:val="center"/>
          </w:tcPr>
          <w:p>
            <w:pPr>
              <w:widowControl/>
              <w:snapToGrid w:val="0"/>
              <w:spacing w:line="400" w:lineRule="exact"/>
              <w:jc w:val="center"/>
              <w:rPr>
                <w:rFonts w:ascii="Times New Roman" w:hAnsi="Times New Roman" w:eastAsia="方正黑体_GBK" w:cs="方正黑体_GBK"/>
                <w:b w:val="0"/>
                <w:bCs w:val="0"/>
                <w:color w:val="auto"/>
                <w:kern w:val="0"/>
                <w:sz w:val="28"/>
                <w:szCs w:val="28"/>
                <w:highlight w:val="none"/>
              </w:rPr>
            </w:pPr>
            <w:r>
              <w:rPr>
                <w:rFonts w:hint="eastAsia" w:ascii="Times New Roman" w:hAnsi="Times New Roman" w:eastAsia="方正黑体_GBK" w:cs="方正黑体_GBK"/>
                <w:b w:val="0"/>
                <w:bCs w:val="0"/>
                <w:color w:val="auto"/>
                <w:kern w:val="0"/>
                <w:sz w:val="28"/>
                <w:szCs w:val="28"/>
                <w:highlight w:val="none"/>
              </w:rPr>
              <w:t>服务项目</w:t>
            </w:r>
          </w:p>
        </w:tc>
        <w:tc>
          <w:tcPr>
            <w:tcW w:w="683" w:type="pct"/>
            <w:vMerge w:val="restart"/>
            <w:tcBorders>
              <w:top w:val="single" w:color="auto" w:sz="4" w:space="0"/>
              <w:left w:val="single" w:color="auto" w:sz="4" w:space="0"/>
              <w:right w:val="single" w:color="auto" w:sz="4" w:space="0"/>
            </w:tcBorders>
            <w:noWrap w:val="0"/>
            <w:vAlign w:val="center"/>
          </w:tcPr>
          <w:p>
            <w:pPr>
              <w:widowControl/>
              <w:snapToGrid w:val="0"/>
              <w:spacing w:line="400" w:lineRule="exact"/>
              <w:jc w:val="center"/>
              <w:rPr>
                <w:rFonts w:ascii="Times New Roman" w:hAnsi="Times New Roman" w:eastAsia="方正黑体_GBK" w:cs="Times New Roman"/>
                <w:b w:val="0"/>
                <w:bCs w:val="0"/>
                <w:color w:val="auto"/>
                <w:kern w:val="0"/>
                <w:sz w:val="28"/>
                <w:szCs w:val="28"/>
                <w:highlight w:val="none"/>
              </w:rPr>
            </w:pPr>
            <w:r>
              <w:rPr>
                <w:rFonts w:hint="eastAsia" w:ascii="Times New Roman" w:hAnsi="Times New Roman" w:eastAsia="方正黑体_GBK" w:cs="Times New Roman"/>
                <w:b w:val="0"/>
                <w:bCs w:val="0"/>
                <w:color w:val="auto"/>
                <w:kern w:val="0"/>
                <w:sz w:val="28"/>
                <w:szCs w:val="28"/>
                <w:highlight w:val="none"/>
              </w:rPr>
              <w:t>服务内容</w:t>
            </w:r>
          </w:p>
        </w:tc>
        <w:tc>
          <w:tcPr>
            <w:tcW w:w="873"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ascii="Times New Roman" w:hAnsi="Times New Roman" w:eastAsia="方正黑体_GBK" w:cs="Times New Roman"/>
                <w:b w:val="0"/>
                <w:bCs w:val="0"/>
                <w:color w:val="auto"/>
                <w:kern w:val="0"/>
                <w:sz w:val="28"/>
                <w:szCs w:val="28"/>
                <w:highlight w:val="none"/>
              </w:rPr>
            </w:pPr>
            <w:r>
              <w:rPr>
                <w:rFonts w:hint="eastAsia" w:ascii="Times New Roman" w:hAnsi="Times New Roman" w:eastAsia="方正黑体_GBK" w:cs="Times New Roman"/>
                <w:b w:val="0"/>
                <w:bCs w:val="0"/>
                <w:color w:val="auto"/>
                <w:kern w:val="0"/>
                <w:sz w:val="28"/>
                <w:szCs w:val="28"/>
                <w:highlight w:val="none"/>
              </w:rPr>
              <w:t>服务结果要求</w:t>
            </w:r>
          </w:p>
        </w:tc>
        <w:tc>
          <w:tcPr>
            <w:tcW w:w="2425" w:type="pct"/>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400" w:lineRule="exact"/>
              <w:jc w:val="center"/>
              <w:rPr>
                <w:rFonts w:hint="eastAsia" w:ascii="Times New Roman" w:hAnsi="Times New Roman" w:eastAsia="方正黑体_GBK" w:cs="方正黑体_GBK"/>
                <w:b w:val="0"/>
                <w:bCs w:val="0"/>
                <w:color w:val="auto"/>
                <w:kern w:val="0"/>
                <w:sz w:val="28"/>
                <w:szCs w:val="28"/>
                <w:highlight w:val="none"/>
                <w:lang w:val="en-US" w:eastAsia="zh-CN" w:bidi="ar-SA"/>
              </w:rPr>
            </w:pPr>
            <w:r>
              <w:rPr>
                <w:rFonts w:hint="eastAsia" w:ascii="Times New Roman" w:hAnsi="Times New Roman" w:eastAsia="方正黑体_GBK" w:cs="方正黑体_GBK"/>
                <w:b w:val="0"/>
                <w:bCs w:val="0"/>
                <w:color w:val="auto"/>
                <w:kern w:val="0"/>
                <w:sz w:val="28"/>
                <w:szCs w:val="28"/>
                <w:highlight w:val="none"/>
                <w:lang w:val="en-US" w:eastAsia="zh-CN" w:bidi="ar-SA"/>
              </w:rPr>
              <w:t>待遇享受方式</w:t>
            </w:r>
          </w:p>
        </w:tc>
      </w:tr>
      <w:tr>
        <w:tblPrEx>
          <w:tblCellMar>
            <w:top w:w="0" w:type="dxa"/>
            <w:left w:w="108" w:type="dxa"/>
            <w:bottom w:w="0" w:type="dxa"/>
            <w:right w:w="108" w:type="dxa"/>
          </w:tblCellMar>
        </w:tblPrEx>
        <w:trPr>
          <w:trHeight w:val="400" w:hRule="atLeast"/>
          <w:jc w:val="center"/>
        </w:trPr>
        <w:tc>
          <w:tcPr>
            <w:tcW w:w="190" w:type="pct"/>
            <w:vMerge w:val="continue"/>
            <w:tcBorders>
              <w:left w:val="single" w:color="auto" w:sz="4" w:space="0"/>
              <w:bottom w:val="single" w:color="auto" w:sz="4" w:space="0"/>
              <w:right w:val="single" w:color="auto" w:sz="4" w:space="0"/>
            </w:tcBorders>
            <w:noWrap w:val="0"/>
            <w:vAlign w:val="center"/>
          </w:tcPr>
          <w:p>
            <w:pPr>
              <w:widowControl/>
              <w:snapToGrid w:val="0"/>
              <w:spacing w:line="400" w:lineRule="exact"/>
              <w:jc w:val="center"/>
              <w:rPr>
                <w:rFonts w:ascii="Times New Roman" w:hAnsi="Times New Roman" w:eastAsia="宋体" w:cs="Times New Roman"/>
                <w:b w:val="0"/>
                <w:bCs w:val="0"/>
                <w:color w:val="auto"/>
                <w:kern w:val="0"/>
                <w:sz w:val="24"/>
                <w:szCs w:val="24"/>
                <w:highlight w:val="none"/>
              </w:rPr>
            </w:pPr>
          </w:p>
        </w:tc>
        <w:tc>
          <w:tcPr>
            <w:tcW w:w="204" w:type="pct"/>
            <w:vMerge w:val="continue"/>
            <w:tcBorders>
              <w:left w:val="nil"/>
              <w:bottom w:val="single" w:color="auto" w:sz="4" w:space="0"/>
              <w:right w:val="single" w:color="auto" w:sz="4" w:space="0"/>
            </w:tcBorders>
            <w:noWrap w:val="0"/>
            <w:vAlign w:val="center"/>
          </w:tcPr>
          <w:p>
            <w:pPr>
              <w:widowControl/>
              <w:snapToGrid w:val="0"/>
              <w:spacing w:line="400" w:lineRule="exact"/>
              <w:jc w:val="center"/>
              <w:rPr>
                <w:rFonts w:ascii="Times New Roman" w:hAnsi="Times New Roman" w:eastAsia="宋体" w:cs="Times New Roman"/>
                <w:b w:val="0"/>
                <w:bCs w:val="0"/>
                <w:color w:val="auto"/>
                <w:kern w:val="0"/>
                <w:sz w:val="24"/>
                <w:szCs w:val="24"/>
                <w:highlight w:val="none"/>
              </w:rPr>
            </w:pPr>
          </w:p>
        </w:tc>
        <w:tc>
          <w:tcPr>
            <w:tcW w:w="623" w:type="pct"/>
            <w:vMerge w:val="continue"/>
            <w:tcBorders>
              <w:left w:val="nil"/>
              <w:bottom w:val="single" w:color="auto" w:sz="4" w:space="0"/>
              <w:right w:val="single" w:color="auto" w:sz="4" w:space="0"/>
            </w:tcBorders>
            <w:noWrap w:val="0"/>
            <w:vAlign w:val="center"/>
          </w:tcPr>
          <w:p>
            <w:pPr>
              <w:widowControl/>
              <w:snapToGrid w:val="0"/>
              <w:spacing w:line="400" w:lineRule="exact"/>
              <w:jc w:val="center"/>
              <w:rPr>
                <w:rFonts w:ascii="Times New Roman" w:hAnsi="Times New Roman" w:eastAsia="宋体" w:cs="Times New Roman"/>
                <w:b w:val="0"/>
                <w:bCs w:val="0"/>
                <w:color w:val="auto"/>
                <w:kern w:val="0"/>
                <w:sz w:val="24"/>
                <w:szCs w:val="24"/>
                <w:highlight w:val="none"/>
              </w:rPr>
            </w:pPr>
          </w:p>
        </w:tc>
        <w:tc>
          <w:tcPr>
            <w:tcW w:w="683" w:type="pct"/>
            <w:vMerge w:val="continue"/>
            <w:tcBorders>
              <w:left w:val="single" w:color="auto" w:sz="4" w:space="0"/>
              <w:bottom w:val="single" w:color="auto" w:sz="4" w:space="0"/>
              <w:right w:val="single" w:color="auto" w:sz="4" w:space="0"/>
            </w:tcBorders>
            <w:noWrap w:val="0"/>
            <w:vAlign w:val="center"/>
          </w:tcPr>
          <w:p>
            <w:pPr>
              <w:widowControl/>
              <w:snapToGrid w:val="0"/>
              <w:spacing w:line="500" w:lineRule="exact"/>
              <w:jc w:val="left"/>
              <w:rPr>
                <w:rFonts w:ascii="Times New Roman" w:hAnsi="Times New Roman" w:eastAsia="宋体" w:cs="Times New Roman"/>
                <w:b w:val="0"/>
                <w:bCs w:val="0"/>
                <w:color w:val="auto"/>
                <w:kern w:val="0"/>
                <w:sz w:val="21"/>
                <w:szCs w:val="21"/>
                <w:highlight w:val="none"/>
              </w:rPr>
            </w:pPr>
          </w:p>
        </w:tc>
        <w:tc>
          <w:tcPr>
            <w:tcW w:w="873"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textAlignment w:val="auto"/>
              <w:rPr>
                <w:rFonts w:ascii="Times New Roman" w:hAnsi="Times New Roman" w:eastAsia="宋体" w:cs="Times New Roman"/>
                <w:b w:val="0"/>
                <w:bCs w:val="0"/>
                <w:color w:val="auto"/>
                <w:kern w:val="0"/>
                <w:sz w:val="21"/>
                <w:szCs w:val="21"/>
                <w:highlight w:val="none"/>
              </w:rPr>
            </w:pPr>
          </w:p>
        </w:tc>
        <w:tc>
          <w:tcPr>
            <w:tcW w:w="1214" w:type="pct"/>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400" w:lineRule="exact"/>
              <w:jc w:val="center"/>
              <w:rPr>
                <w:rFonts w:hint="eastAsia" w:ascii="Times New Roman" w:hAnsi="Times New Roman" w:eastAsia="方正黑体_GBK" w:cs="方正黑体_GBK"/>
                <w:b w:val="0"/>
                <w:bCs w:val="0"/>
                <w:color w:val="auto"/>
                <w:kern w:val="0"/>
                <w:sz w:val="28"/>
                <w:szCs w:val="28"/>
                <w:highlight w:val="none"/>
                <w:lang w:val="en-US" w:eastAsia="zh-CN" w:bidi="ar-SA"/>
              </w:rPr>
            </w:pPr>
            <w:r>
              <w:rPr>
                <w:rFonts w:hint="eastAsia" w:ascii="Times New Roman" w:hAnsi="Times New Roman" w:eastAsia="方正黑体_GBK" w:cs="方正黑体_GBK"/>
                <w:b w:val="0"/>
                <w:bCs w:val="0"/>
                <w:color w:val="auto"/>
                <w:kern w:val="0"/>
                <w:sz w:val="28"/>
                <w:szCs w:val="28"/>
                <w:highlight w:val="none"/>
                <w:lang w:val="en-US" w:eastAsia="zh-CN" w:bidi="ar-SA"/>
              </w:rPr>
              <w:t>居家组合护理</w:t>
            </w:r>
          </w:p>
        </w:tc>
        <w:tc>
          <w:tcPr>
            <w:tcW w:w="607" w:type="pct"/>
            <w:vMerge w:val="restart"/>
            <w:tcBorders>
              <w:top w:val="single" w:color="auto" w:sz="4" w:space="0"/>
              <w:left w:val="single" w:color="auto" w:sz="4" w:space="0"/>
              <w:right w:val="single" w:color="auto" w:sz="4" w:space="0"/>
            </w:tcBorders>
            <w:noWrap w:val="0"/>
            <w:vAlign w:val="center"/>
          </w:tcPr>
          <w:p>
            <w:pPr>
              <w:widowControl/>
              <w:snapToGrid w:val="0"/>
              <w:spacing w:line="400" w:lineRule="exact"/>
              <w:jc w:val="center"/>
              <w:rPr>
                <w:rFonts w:hint="eastAsia" w:ascii="Times New Roman" w:hAnsi="Times New Roman" w:eastAsia="方正黑体_GBK" w:cs="方正黑体_GBK"/>
                <w:b w:val="0"/>
                <w:bCs w:val="0"/>
                <w:color w:val="auto"/>
                <w:kern w:val="0"/>
                <w:sz w:val="28"/>
                <w:szCs w:val="28"/>
                <w:highlight w:val="none"/>
                <w:lang w:val="en-US" w:eastAsia="zh-CN" w:bidi="ar-SA"/>
              </w:rPr>
            </w:pPr>
            <w:r>
              <w:rPr>
                <w:rFonts w:hint="eastAsia" w:ascii="Times New Roman" w:hAnsi="Times New Roman" w:eastAsia="方正黑体_GBK" w:cs="方正黑体_GBK"/>
                <w:b w:val="0"/>
                <w:bCs w:val="0"/>
                <w:color w:val="auto"/>
                <w:kern w:val="0"/>
                <w:sz w:val="28"/>
                <w:szCs w:val="28"/>
                <w:highlight w:val="none"/>
                <w:lang w:eastAsia="zh-CN"/>
              </w:rPr>
              <w:t>机构上门护理</w:t>
            </w:r>
            <w:r>
              <w:rPr>
                <w:rFonts w:ascii="Times New Roman" w:hAnsi="Times New Roman" w:eastAsia="方正黑体_GBK" w:cs="方正黑体_GBK"/>
                <w:b w:val="0"/>
                <w:bCs w:val="0"/>
                <w:color w:val="auto"/>
                <w:kern w:val="0"/>
                <w:sz w:val="28"/>
                <w:szCs w:val="28"/>
                <w:highlight w:val="none"/>
              </w:rPr>
              <w:t>及指导</w:t>
            </w:r>
          </w:p>
        </w:tc>
        <w:tc>
          <w:tcPr>
            <w:tcW w:w="603" w:type="pct"/>
            <w:vMerge w:val="restart"/>
            <w:tcBorders>
              <w:top w:val="single" w:color="auto" w:sz="4" w:space="0"/>
              <w:left w:val="single" w:color="auto" w:sz="4" w:space="0"/>
              <w:right w:val="single" w:color="auto" w:sz="4" w:space="0"/>
            </w:tcBorders>
            <w:noWrap w:val="0"/>
            <w:vAlign w:val="center"/>
          </w:tcPr>
          <w:p>
            <w:pPr>
              <w:widowControl/>
              <w:snapToGrid w:val="0"/>
              <w:spacing w:line="400" w:lineRule="exact"/>
              <w:jc w:val="center"/>
              <w:rPr>
                <w:rFonts w:hint="eastAsia" w:ascii="Times New Roman" w:hAnsi="Times New Roman" w:eastAsia="方正黑体_GBK" w:cs="方正黑体_GBK"/>
                <w:b w:val="0"/>
                <w:bCs w:val="0"/>
                <w:color w:val="auto"/>
                <w:kern w:val="0"/>
                <w:sz w:val="28"/>
                <w:szCs w:val="28"/>
                <w:highlight w:val="none"/>
              </w:rPr>
            </w:pPr>
            <w:r>
              <w:rPr>
                <w:rFonts w:ascii="Times New Roman" w:hAnsi="Times New Roman" w:eastAsia="方正黑体_GBK" w:cs="方正黑体_GBK"/>
                <w:b w:val="0"/>
                <w:bCs w:val="0"/>
                <w:color w:val="auto"/>
                <w:kern w:val="0"/>
                <w:sz w:val="28"/>
                <w:szCs w:val="28"/>
                <w:highlight w:val="none"/>
              </w:rPr>
              <w:t>机构</w:t>
            </w:r>
            <w:r>
              <w:rPr>
                <w:rFonts w:hint="eastAsia" w:ascii="Times New Roman" w:hAnsi="Times New Roman" w:eastAsia="方正黑体_GBK" w:cs="方正黑体_GBK"/>
                <w:b w:val="0"/>
                <w:bCs w:val="0"/>
                <w:color w:val="auto"/>
                <w:kern w:val="0"/>
                <w:sz w:val="28"/>
                <w:szCs w:val="28"/>
                <w:highlight w:val="none"/>
              </w:rPr>
              <w:t>集中</w:t>
            </w:r>
          </w:p>
          <w:p>
            <w:pPr>
              <w:widowControl/>
              <w:snapToGrid w:val="0"/>
              <w:spacing w:line="400" w:lineRule="exact"/>
              <w:jc w:val="center"/>
              <w:rPr>
                <w:rFonts w:hint="eastAsia" w:ascii="Times New Roman" w:hAnsi="Times New Roman" w:eastAsia="方正黑体_GBK" w:cs="方正黑体_GBK"/>
                <w:b w:val="0"/>
                <w:bCs w:val="0"/>
                <w:color w:val="auto"/>
                <w:kern w:val="0"/>
                <w:sz w:val="28"/>
                <w:szCs w:val="28"/>
                <w:highlight w:val="none"/>
                <w:lang w:val="en-US" w:eastAsia="zh-CN" w:bidi="ar-SA"/>
              </w:rPr>
            </w:pPr>
            <w:r>
              <w:rPr>
                <w:rFonts w:ascii="Times New Roman" w:hAnsi="Times New Roman" w:eastAsia="方正黑体_GBK" w:cs="方正黑体_GBK"/>
                <w:b w:val="0"/>
                <w:bCs w:val="0"/>
                <w:color w:val="auto"/>
                <w:kern w:val="0"/>
                <w:sz w:val="28"/>
                <w:szCs w:val="28"/>
                <w:highlight w:val="none"/>
              </w:rPr>
              <w:t>护理</w:t>
            </w:r>
          </w:p>
        </w:tc>
      </w:tr>
      <w:tr>
        <w:tblPrEx>
          <w:tblCellMar>
            <w:top w:w="0" w:type="dxa"/>
            <w:left w:w="108" w:type="dxa"/>
            <w:bottom w:w="0" w:type="dxa"/>
            <w:right w:w="108" w:type="dxa"/>
          </w:tblCellMar>
        </w:tblPrEx>
        <w:trPr>
          <w:trHeight w:val="400" w:hRule="atLeast"/>
          <w:jc w:val="center"/>
        </w:trPr>
        <w:tc>
          <w:tcPr>
            <w:tcW w:w="190" w:type="pct"/>
            <w:vMerge w:val="continue"/>
            <w:tcBorders>
              <w:left w:val="single" w:color="auto" w:sz="4" w:space="0"/>
              <w:bottom w:val="single" w:color="auto" w:sz="4" w:space="0"/>
              <w:right w:val="single" w:color="auto" w:sz="4" w:space="0"/>
            </w:tcBorders>
            <w:noWrap w:val="0"/>
            <w:vAlign w:val="center"/>
          </w:tcPr>
          <w:p>
            <w:pPr>
              <w:widowControl/>
              <w:snapToGrid w:val="0"/>
              <w:spacing w:line="400" w:lineRule="exact"/>
              <w:jc w:val="center"/>
              <w:rPr>
                <w:rFonts w:ascii="Times New Roman" w:hAnsi="Times New Roman" w:eastAsia="宋体" w:cs="Times New Roman"/>
                <w:b w:val="0"/>
                <w:bCs w:val="0"/>
                <w:sz w:val="21"/>
                <w:szCs w:val="22"/>
                <w:highlight w:val="none"/>
              </w:rPr>
            </w:pPr>
          </w:p>
        </w:tc>
        <w:tc>
          <w:tcPr>
            <w:tcW w:w="204" w:type="pct"/>
            <w:vMerge w:val="continue"/>
            <w:tcBorders>
              <w:left w:val="nil"/>
              <w:bottom w:val="single" w:color="auto" w:sz="4" w:space="0"/>
              <w:right w:val="single" w:color="auto" w:sz="4" w:space="0"/>
            </w:tcBorders>
            <w:noWrap w:val="0"/>
            <w:vAlign w:val="center"/>
          </w:tcPr>
          <w:p>
            <w:pPr>
              <w:widowControl/>
              <w:snapToGrid w:val="0"/>
              <w:spacing w:line="400" w:lineRule="exact"/>
              <w:jc w:val="center"/>
              <w:rPr>
                <w:rFonts w:ascii="Times New Roman" w:hAnsi="Times New Roman" w:eastAsia="宋体" w:cs="Times New Roman"/>
                <w:b w:val="0"/>
                <w:bCs w:val="0"/>
                <w:sz w:val="21"/>
                <w:szCs w:val="22"/>
                <w:highlight w:val="none"/>
              </w:rPr>
            </w:pPr>
          </w:p>
        </w:tc>
        <w:tc>
          <w:tcPr>
            <w:tcW w:w="623" w:type="pct"/>
            <w:vMerge w:val="continue"/>
            <w:tcBorders>
              <w:left w:val="nil"/>
              <w:bottom w:val="single" w:color="auto" w:sz="4" w:space="0"/>
              <w:right w:val="single" w:color="auto" w:sz="4" w:space="0"/>
            </w:tcBorders>
            <w:noWrap w:val="0"/>
            <w:vAlign w:val="center"/>
          </w:tcPr>
          <w:p>
            <w:pPr>
              <w:widowControl/>
              <w:snapToGrid w:val="0"/>
              <w:spacing w:line="400" w:lineRule="exact"/>
              <w:jc w:val="center"/>
              <w:rPr>
                <w:rFonts w:ascii="Times New Roman" w:hAnsi="Times New Roman" w:eastAsia="宋体" w:cs="Times New Roman"/>
                <w:b w:val="0"/>
                <w:bCs w:val="0"/>
                <w:sz w:val="21"/>
                <w:szCs w:val="22"/>
                <w:highlight w:val="none"/>
              </w:rPr>
            </w:pPr>
          </w:p>
        </w:tc>
        <w:tc>
          <w:tcPr>
            <w:tcW w:w="683" w:type="pct"/>
            <w:vMerge w:val="continue"/>
            <w:tcBorders>
              <w:left w:val="single" w:color="auto" w:sz="4" w:space="0"/>
              <w:bottom w:val="single" w:color="auto" w:sz="4" w:space="0"/>
              <w:right w:val="single" w:color="auto" w:sz="4" w:space="0"/>
            </w:tcBorders>
            <w:noWrap w:val="0"/>
            <w:vAlign w:val="center"/>
          </w:tcPr>
          <w:p>
            <w:pPr>
              <w:widowControl/>
              <w:snapToGrid w:val="0"/>
              <w:spacing w:line="400" w:lineRule="exact"/>
              <w:jc w:val="center"/>
              <w:rPr>
                <w:rFonts w:ascii="Times New Roman" w:hAnsi="Times New Roman" w:eastAsia="宋体" w:cs="Times New Roman"/>
                <w:b w:val="0"/>
                <w:bCs w:val="0"/>
                <w:sz w:val="21"/>
                <w:szCs w:val="22"/>
                <w:highlight w:val="none"/>
              </w:rPr>
            </w:pPr>
          </w:p>
        </w:tc>
        <w:tc>
          <w:tcPr>
            <w:tcW w:w="873" w:type="pct"/>
            <w:vMerge w:val="continue"/>
            <w:tcBorders>
              <w:left w:val="single" w:color="auto" w:sz="4" w:space="0"/>
              <w:bottom w:val="single" w:color="auto" w:sz="4" w:space="0"/>
              <w:right w:val="single" w:color="auto" w:sz="4" w:space="0"/>
            </w:tcBorders>
            <w:noWrap w:val="0"/>
            <w:vAlign w:val="center"/>
          </w:tcPr>
          <w:p>
            <w:pPr>
              <w:widowControl/>
              <w:snapToGrid w:val="0"/>
              <w:spacing w:line="400" w:lineRule="exact"/>
              <w:jc w:val="center"/>
              <w:rPr>
                <w:rFonts w:ascii="Times New Roman" w:hAnsi="Times New Roman" w:eastAsia="宋体" w:cs="Times New Roman"/>
                <w:b w:val="0"/>
                <w:bCs w:val="0"/>
                <w:sz w:val="21"/>
                <w:szCs w:val="22"/>
                <w:highlight w:val="none"/>
              </w:rPr>
            </w:pPr>
          </w:p>
        </w:tc>
        <w:tc>
          <w:tcPr>
            <w:tcW w:w="615"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400" w:lineRule="exact"/>
              <w:jc w:val="center"/>
              <w:rPr>
                <w:rFonts w:hint="eastAsia" w:ascii="Times New Roman" w:hAnsi="Times New Roman" w:eastAsia="方正黑体_GBK" w:cs="方正黑体_GBK"/>
                <w:b w:val="0"/>
                <w:bCs w:val="0"/>
                <w:color w:val="auto"/>
                <w:kern w:val="0"/>
                <w:sz w:val="28"/>
                <w:szCs w:val="28"/>
                <w:highlight w:val="none"/>
                <w:lang w:eastAsia="zh-CN"/>
              </w:rPr>
            </w:pPr>
            <w:r>
              <w:rPr>
                <w:rFonts w:hint="eastAsia" w:ascii="Times New Roman" w:hAnsi="Times New Roman" w:eastAsia="方正黑体_GBK" w:cs="方正黑体_GBK"/>
                <w:b w:val="0"/>
                <w:bCs w:val="0"/>
                <w:color w:val="auto"/>
                <w:kern w:val="0"/>
                <w:sz w:val="28"/>
                <w:szCs w:val="28"/>
                <w:highlight w:val="none"/>
                <w:lang w:eastAsia="zh-CN"/>
              </w:rPr>
              <w:t>机构护理</w:t>
            </w:r>
          </w:p>
          <w:p>
            <w:pPr>
              <w:widowControl/>
              <w:snapToGrid w:val="0"/>
              <w:spacing w:line="400" w:lineRule="exact"/>
              <w:jc w:val="center"/>
              <w:rPr>
                <w:rFonts w:ascii="Times New Roman" w:hAnsi="Times New Roman" w:eastAsia="方正黑体_GBK" w:cs="方正黑体_GBK"/>
                <w:b w:val="0"/>
                <w:bCs w:val="0"/>
                <w:color w:val="auto"/>
                <w:kern w:val="0"/>
                <w:sz w:val="28"/>
                <w:szCs w:val="28"/>
                <w:highlight w:val="none"/>
              </w:rPr>
            </w:pPr>
            <w:r>
              <w:rPr>
                <w:rFonts w:ascii="Times New Roman" w:hAnsi="Times New Roman" w:eastAsia="方正黑体_GBK" w:cs="方正黑体_GBK"/>
                <w:b w:val="0"/>
                <w:bCs w:val="0"/>
                <w:color w:val="auto"/>
                <w:kern w:val="0"/>
                <w:sz w:val="28"/>
                <w:szCs w:val="28"/>
                <w:highlight w:val="none"/>
              </w:rPr>
              <w:t>及指导</w:t>
            </w:r>
          </w:p>
        </w:tc>
        <w:tc>
          <w:tcPr>
            <w:tcW w:w="599" w:type="pct"/>
            <w:tcBorders>
              <w:left w:val="single" w:color="auto" w:sz="4" w:space="0"/>
              <w:bottom w:val="single" w:color="auto" w:sz="4" w:space="0"/>
              <w:right w:val="single" w:color="auto" w:sz="4" w:space="0"/>
            </w:tcBorders>
            <w:noWrap w:val="0"/>
            <w:vAlign w:val="center"/>
          </w:tcPr>
          <w:p>
            <w:pPr>
              <w:widowControl/>
              <w:snapToGrid w:val="0"/>
              <w:spacing w:line="400" w:lineRule="exact"/>
              <w:jc w:val="center"/>
              <w:rPr>
                <w:rFonts w:ascii="Times New Roman" w:hAnsi="Times New Roman" w:eastAsia="方正黑体_GBK" w:cs="方正黑体_GBK"/>
                <w:b w:val="0"/>
                <w:bCs w:val="0"/>
                <w:color w:val="auto"/>
                <w:kern w:val="0"/>
                <w:sz w:val="28"/>
                <w:szCs w:val="28"/>
                <w:highlight w:val="none"/>
              </w:rPr>
            </w:pPr>
            <w:r>
              <w:rPr>
                <w:rFonts w:hint="eastAsia" w:ascii="Times New Roman" w:hAnsi="Times New Roman" w:eastAsia="方正黑体_GBK" w:cs="方正黑体_GBK"/>
                <w:b w:val="0"/>
                <w:bCs w:val="0"/>
                <w:color w:val="auto"/>
                <w:kern w:val="0"/>
                <w:sz w:val="28"/>
                <w:szCs w:val="28"/>
                <w:highlight w:val="none"/>
              </w:rPr>
              <w:t>个人护理</w:t>
            </w:r>
          </w:p>
        </w:tc>
        <w:tc>
          <w:tcPr>
            <w:tcW w:w="607" w:type="pct"/>
            <w:vMerge w:val="continue"/>
            <w:tcBorders>
              <w:left w:val="single" w:color="auto" w:sz="4" w:space="0"/>
              <w:bottom w:val="single" w:color="auto" w:sz="4" w:space="0"/>
              <w:right w:val="single" w:color="auto" w:sz="4" w:space="0"/>
            </w:tcBorders>
            <w:noWrap w:val="0"/>
            <w:vAlign w:val="center"/>
          </w:tcPr>
          <w:p>
            <w:pPr>
              <w:widowControl/>
              <w:snapToGrid w:val="0"/>
              <w:spacing w:line="400" w:lineRule="exact"/>
              <w:jc w:val="center"/>
              <w:rPr>
                <w:rFonts w:ascii="Times New Roman" w:hAnsi="Times New Roman" w:eastAsia="方正黑体_GBK" w:cs="方正黑体_GBK"/>
                <w:b w:val="0"/>
                <w:bCs w:val="0"/>
                <w:color w:val="auto"/>
                <w:kern w:val="0"/>
                <w:sz w:val="28"/>
                <w:szCs w:val="28"/>
                <w:highlight w:val="none"/>
              </w:rPr>
            </w:pPr>
          </w:p>
        </w:tc>
        <w:tc>
          <w:tcPr>
            <w:tcW w:w="603" w:type="pct"/>
            <w:vMerge w:val="continue"/>
            <w:tcBorders>
              <w:left w:val="single" w:color="auto" w:sz="4" w:space="0"/>
              <w:bottom w:val="single" w:color="auto" w:sz="4" w:space="0"/>
              <w:right w:val="single" w:color="auto" w:sz="4" w:space="0"/>
            </w:tcBorders>
            <w:noWrap w:val="0"/>
            <w:vAlign w:val="center"/>
          </w:tcPr>
          <w:p>
            <w:pPr>
              <w:widowControl/>
              <w:snapToGrid w:val="0"/>
              <w:spacing w:line="400" w:lineRule="exact"/>
              <w:jc w:val="center"/>
              <w:rPr>
                <w:rFonts w:ascii="Times New Roman" w:hAnsi="Times New Roman" w:eastAsia="方正黑体_GBK" w:cs="方正黑体_GBK"/>
                <w:b w:val="0"/>
                <w:bCs w:val="0"/>
                <w:color w:val="auto"/>
                <w:kern w:val="0"/>
                <w:sz w:val="28"/>
                <w:szCs w:val="28"/>
                <w:highlight w:val="none"/>
              </w:rPr>
            </w:pPr>
          </w:p>
        </w:tc>
      </w:tr>
      <w:tr>
        <w:tblPrEx>
          <w:tblCellMar>
            <w:top w:w="0" w:type="dxa"/>
            <w:left w:w="108" w:type="dxa"/>
            <w:bottom w:w="0" w:type="dxa"/>
            <w:right w:w="108" w:type="dxa"/>
          </w:tblCellMar>
        </w:tblPrEx>
        <w:trPr>
          <w:trHeight w:val="90"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w:t>
            </w:r>
          </w:p>
        </w:tc>
        <w:tc>
          <w:tcPr>
            <w:tcW w:w="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饮食</w:t>
            </w:r>
          </w:p>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62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帮助进食/水</w:t>
            </w:r>
          </w:p>
        </w:tc>
        <w:tc>
          <w:tcPr>
            <w:tcW w:w="6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根据护理对象的状态、饮食种类、液体出入量、自行进食能力，选择恰当的餐具、进餐体位、食品种类让对象摄入充足的水分和食物。</w:t>
            </w:r>
          </w:p>
        </w:tc>
        <w:tc>
          <w:tcPr>
            <w:tcW w:w="8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护理对象保持清洁，无遗留饭、水渍等；</w:t>
            </w:r>
          </w:p>
          <w:p>
            <w:pPr>
              <w:keepNext w:val="0"/>
              <w:keepLines w:val="0"/>
              <w:pageBreakBefore w:val="0"/>
              <w:widowControl/>
              <w:kinsoku/>
              <w:wordWrap/>
              <w:overflowPunct/>
              <w:topLinePunct w:val="0"/>
              <w:autoSpaceDE/>
              <w:autoSpaceDN/>
              <w:bidi w:val="0"/>
              <w:adjustRightInd/>
              <w:spacing w:line="36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无帮助饮食、饮水出现拖延和不充足情况；</w:t>
            </w:r>
          </w:p>
          <w:p>
            <w:pPr>
              <w:keepNext w:val="0"/>
              <w:keepLines w:val="0"/>
              <w:pageBreakBefore w:val="0"/>
              <w:widowControl/>
              <w:kinsoku/>
              <w:wordWrap/>
              <w:overflowPunct/>
              <w:topLinePunct w:val="0"/>
              <w:autoSpaceDE/>
              <w:autoSpaceDN/>
              <w:bidi w:val="0"/>
              <w:adjustRightInd/>
              <w:spacing w:line="36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3</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无因食物选择不当出现噎食；</w:t>
            </w:r>
          </w:p>
          <w:p>
            <w:pPr>
              <w:keepNext w:val="0"/>
              <w:keepLines w:val="0"/>
              <w:pageBreakBefore w:val="0"/>
              <w:widowControl/>
              <w:kinsoku/>
              <w:wordWrap/>
              <w:overflowPunct/>
              <w:topLinePunct w:val="0"/>
              <w:autoSpaceDE/>
              <w:autoSpaceDN/>
              <w:bidi w:val="0"/>
              <w:adjustRightInd/>
              <w:spacing w:line="36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4</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无因食物温度不适而出现烫伤；</w:t>
            </w:r>
          </w:p>
          <w:p>
            <w:pPr>
              <w:keepNext w:val="0"/>
              <w:keepLines w:val="0"/>
              <w:pageBreakBefore w:val="0"/>
              <w:widowControl/>
              <w:kinsoku/>
              <w:wordWrap/>
              <w:overflowPunct/>
              <w:topLinePunct w:val="0"/>
              <w:autoSpaceDE/>
              <w:autoSpaceDN/>
              <w:bidi w:val="0"/>
              <w:adjustRightInd/>
              <w:spacing w:line="36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5</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喂食速度和食量合适。</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hint="eastAsia" w:ascii="Times New Roman" w:hAnsi="Times New Roman" w:eastAsia="方正仿宋_GBK" w:cs="方正仿宋_GBK"/>
                <w:b w:val="0"/>
                <w:bCs w:val="0"/>
                <w:color w:val="auto"/>
                <w:kern w:val="2"/>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根据护理对象饮食习惯和要求，</w:t>
            </w:r>
            <w:r>
              <w:rPr>
                <w:rFonts w:hint="eastAsia" w:ascii="Times New Roman" w:hAnsi="Times New Roman" w:eastAsia="方正仿宋_GBK" w:cs="方正仿宋_GBK"/>
                <w:b w:val="0"/>
                <w:bCs w:val="0"/>
                <w:color w:val="auto"/>
                <w:kern w:val="0"/>
                <w:sz w:val="28"/>
                <w:szCs w:val="28"/>
                <w:highlight w:val="none"/>
                <w:lang w:eastAsia="zh-CN"/>
              </w:rPr>
              <w:t>原则上每次上门提供服务不少于1次。每月定期指导不少于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根据护理对象饮食习惯和要求，原则3</w:t>
            </w:r>
            <w:r>
              <w:rPr>
                <w:rFonts w:hint="eastAsia" w:ascii="Times New Roman" w:hAnsi="Times New Roman" w:eastAsia="方正仿宋_GBK" w:cs="方正仿宋_GBK"/>
                <w:b w:val="0"/>
                <w:bCs w:val="0"/>
                <w:color w:val="auto"/>
                <w:kern w:val="0"/>
                <w:sz w:val="28"/>
                <w:szCs w:val="28"/>
                <w:highlight w:val="none"/>
                <w:lang w:eastAsia="zh-CN"/>
              </w:rPr>
              <w:t>—</w:t>
            </w:r>
            <w:r>
              <w:rPr>
                <w:rFonts w:hint="eastAsia" w:ascii="Times New Roman" w:hAnsi="Times New Roman" w:eastAsia="方正仿宋_GBK" w:cs="方正仿宋_GBK"/>
                <w:b w:val="0"/>
                <w:bCs w:val="0"/>
                <w:color w:val="auto"/>
                <w:kern w:val="0"/>
                <w:sz w:val="28"/>
                <w:szCs w:val="28"/>
                <w:highlight w:val="none"/>
              </w:rPr>
              <w:t>5次/日。</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c>
          <w:tcPr>
            <w:tcW w:w="6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hint="eastAsia" w:ascii="Times New Roman" w:hAnsi="Times New Roman" w:eastAsia="方正仿宋_GBK" w:cs="方正仿宋_GBK"/>
                <w:b w:val="0"/>
                <w:bCs w:val="0"/>
                <w:color w:val="auto"/>
                <w:kern w:val="2"/>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根据护理对象饮食习惯和要求，</w:t>
            </w:r>
            <w:r>
              <w:rPr>
                <w:rFonts w:hint="eastAsia" w:ascii="Times New Roman" w:hAnsi="Times New Roman" w:eastAsia="方正仿宋_GBK" w:cs="方正仿宋_GBK"/>
                <w:b w:val="0"/>
                <w:bCs w:val="0"/>
                <w:color w:val="auto"/>
                <w:kern w:val="0"/>
                <w:sz w:val="28"/>
                <w:szCs w:val="28"/>
                <w:highlight w:val="none"/>
                <w:lang w:eastAsia="zh-CN"/>
              </w:rPr>
              <w:t>原则上每次上门提供服务不少于1次。每月定期指导不少于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6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根据护理对象饮食习惯和要求，原则3</w:t>
            </w:r>
            <w:r>
              <w:rPr>
                <w:rFonts w:hint="eastAsia" w:ascii="Times New Roman" w:hAnsi="Times New Roman" w:eastAsia="方正仿宋_GBK" w:cs="方正仿宋_GBK"/>
                <w:b w:val="0"/>
                <w:bCs w:val="0"/>
                <w:color w:val="auto"/>
                <w:kern w:val="0"/>
                <w:sz w:val="28"/>
                <w:szCs w:val="28"/>
                <w:highlight w:val="none"/>
                <w:lang w:eastAsia="zh-CN"/>
              </w:rPr>
              <w:t>—</w:t>
            </w:r>
            <w:r>
              <w:rPr>
                <w:rFonts w:hint="eastAsia" w:ascii="Times New Roman" w:hAnsi="Times New Roman" w:eastAsia="方正仿宋_GBK" w:cs="方正仿宋_GBK"/>
                <w:b w:val="0"/>
                <w:bCs w:val="0"/>
                <w:color w:val="auto"/>
                <w:kern w:val="0"/>
                <w:sz w:val="28"/>
                <w:szCs w:val="28"/>
                <w:highlight w:val="none"/>
              </w:rPr>
              <w:t>5次/日。</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r>
      <w:tr>
        <w:tblPrEx>
          <w:tblCellMar>
            <w:top w:w="0" w:type="dxa"/>
            <w:left w:w="108" w:type="dxa"/>
            <w:bottom w:w="0" w:type="dxa"/>
            <w:right w:w="108" w:type="dxa"/>
          </w:tblCellMar>
        </w:tblPrEx>
        <w:trPr>
          <w:trHeight w:val="2079"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w:t>
            </w:r>
          </w:p>
        </w:tc>
        <w:tc>
          <w:tcPr>
            <w:tcW w:w="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饮食</w:t>
            </w:r>
          </w:p>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62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鼻饲</w:t>
            </w:r>
          </w:p>
        </w:tc>
        <w:tc>
          <w:tcPr>
            <w:tcW w:w="6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snapToGrid w:val="0"/>
                <w:color w:val="auto"/>
                <w:kern w:val="0"/>
                <w:sz w:val="28"/>
                <w:szCs w:val="28"/>
                <w:highlight w:val="none"/>
              </w:rPr>
              <w:t>遵医嘱从胃管内灌注适宜的流质食物、水分和药物。</w:t>
            </w:r>
          </w:p>
        </w:tc>
        <w:tc>
          <w:tcPr>
            <w:tcW w:w="8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护理对象保持清洁，无遗留食、水渍等；</w:t>
            </w:r>
          </w:p>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管道内无沉积的食物或药物；</w:t>
            </w:r>
          </w:p>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3</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无因操作不当、体位不当而导致误吸，并引起不良后果；</w:t>
            </w:r>
          </w:p>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4</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 xml:space="preserve">喂食速度合适； </w:t>
            </w:r>
          </w:p>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5</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管道护理符合护理要求。</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根据护理对象饮食习惯和要求，</w:t>
            </w:r>
            <w:r>
              <w:rPr>
                <w:rFonts w:hint="eastAsia" w:ascii="Times New Roman" w:hAnsi="Times New Roman" w:eastAsia="方正仿宋_GBK" w:cs="方正仿宋_GBK"/>
                <w:b w:val="0"/>
                <w:bCs w:val="0"/>
                <w:color w:val="auto"/>
                <w:kern w:val="0"/>
                <w:sz w:val="28"/>
                <w:szCs w:val="28"/>
                <w:highlight w:val="none"/>
                <w:lang w:eastAsia="zh-CN"/>
              </w:rPr>
              <w:t>原则上每次上门提供服务不少于1次。每月定期指导不少于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根据护理对象饮食习惯和要求，原则3</w:t>
            </w:r>
            <w:r>
              <w:rPr>
                <w:rFonts w:hint="eastAsia" w:ascii="Times New Roman" w:hAnsi="Times New Roman" w:eastAsia="方正仿宋_GBK" w:cs="方正仿宋_GBK"/>
                <w:b w:val="0"/>
                <w:bCs w:val="0"/>
                <w:color w:val="auto"/>
                <w:kern w:val="0"/>
                <w:sz w:val="28"/>
                <w:szCs w:val="28"/>
                <w:highlight w:val="none"/>
                <w:lang w:eastAsia="zh-CN"/>
              </w:rPr>
              <w:t>—</w:t>
            </w:r>
            <w:r>
              <w:rPr>
                <w:rFonts w:hint="eastAsia" w:ascii="Times New Roman" w:hAnsi="Times New Roman" w:eastAsia="方正仿宋_GBK" w:cs="方正仿宋_GBK"/>
                <w:b w:val="0"/>
                <w:bCs w:val="0"/>
                <w:color w:val="auto"/>
                <w:kern w:val="0"/>
                <w:sz w:val="28"/>
                <w:szCs w:val="28"/>
                <w:highlight w:val="none"/>
              </w:rPr>
              <w:t>5次/日。</w:t>
            </w:r>
          </w:p>
        </w:tc>
        <w:tc>
          <w:tcPr>
            <w:tcW w:w="6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根据护理对象饮食习惯和要求，</w:t>
            </w:r>
            <w:r>
              <w:rPr>
                <w:rFonts w:hint="eastAsia" w:ascii="Times New Roman" w:hAnsi="Times New Roman" w:eastAsia="方正仿宋_GBK" w:cs="方正仿宋_GBK"/>
                <w:b w:val="0"/>
                <w:bCs w:val="0"/>
                <w:color w:val="auto"/>
                <w:kern w:val="0"/>
                <w:sz w:val="28"/>
                <w:szCs w:val="28"/>
                <w:highlight w:val="none"/>
                <w:lang w:eastAsia="zh-CN"/>
              </w:rPr>
              <w:t>原则上每次上门提供服务不少于1次。每月定期指导不少于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6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根据护理对象饮食习惯和要求，原则3</w:t>
            </w:r>
            <w:r>
              <w:rPr>
                <w:rFonts w:hint="eastAsia" w:ascii="Times New Roman" w:hAnsi="Times New Roman" w:eastAsia="方正仿宋_GBK" w:cs="方正仿宋_GBK"/>
                <w:b w:val="0"/>
                <w:bCs w:val="0"/>
                <w:color w:val="auto"/>
                <w:kern w:val="0"/>
                <w:sz w:val="28"/>
                <w:szCs w:val="28"/>
                <w:highlight w:val="none"/>
                <w:lang w:eastAsia="zh-CN"/>
              </w:rPr>
              <w:t>—</w:t>
            </w:r>
            <w:r>
              <w:rPr>
                <w:rFonts w:hint="eastAsia" w:ascii="Times New Roman" w:hAnsi="Times New Roman" w:eastAsia="方正仿宋_GBK" w:cs="方正仿宋_GBK"/>
                <w:b w:val="0"/>
                <w:bCs w:val="0"/>
                <w:color w:val="auto"/>
                <w:kern w:val="0"/>
                <w:sz w:val="28"/>
                <w:szCs w:val="28"/>
                <w:highlight w:val="none"/>
              </w:rPr>
              <w:t>5次/日。</w:t>
            </w:r>
          </w:p>
        </w:tc>
      </w:tr>
      <w:tr>
        <w:tblPrEx>
          <w:tblCellMar>
            <w:top w:w="0" w:type="dxa"/>
            <w:left w:w="108" w:type="dxa"/>
            <w:bottom w:w="0" w:type="dxa"/>
            <w:right w:w="108" w:type="dxa"/>
          </w:tblCellMar>
        </w:tblPrEx>
        <w:trPr>
          <w:trHeight w:val="933"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3</w:t>
            </w:r>
          </w:p>
        </w:tc>
        <w:tc>
          <w:tcPr>
            <w:tcW w:w="20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排泄</w:t>
            </w:r>
          </w:p>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62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帮助如厕</w:t>
            </w:r>
          </w:p>
        </w:tc>
        <w:tc>
          <w:tcPr>
            <w:tcW w:w="6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根据护理对象状态，选择轮椅、助行器、拐杖等不同的移动工具，协助老人如厕。</w:t>
            </w:r>
          </w:p>
        </w:tc>
        <w:tc>
          <w:tcPr>
            <w:tcW w:w="8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护理对象无跌倒等安全意外情况。发生安全意外情况时，及时上报。</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原则上每次上门提供服务不少于1次</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根据护理对象需要，必要时。</w:t>
            </w:r>
            <w:r>
              <w:rPr>
                <w:rFonts w:hint="eastAsia" w:ascii="Times New Roman" w:hAnsi="Times New Roman" w:eastAsia="方正仿宋_GBK" w:cs="方正仿宋_GBK"/>
                <w:b w:val="0"/>
                <w:bCs w:val="0"/>
                <w:color w:val="auto"/>
                <w:kern w:val="0"/>
                <w:sz w:val="28"/>
                <w:szCs w:val="28"/>
                <w:highlight w:val="none"/>
                <w:lang w:eastAsia="zh-CN"/>
              </w:rPr>
              <w:t>（重度失能人员必选）</w:t>
            </w:r>
            <w:r>
              <w:rPr>
                <w:rFonts w:hint="eastAsia" w:ascii="Times New Roman" w:hAnsi="Times New Roman" w:eastAsia="方正仿宋_GBK" w:cs="方正仿宋_GBK"/>
                <w:b w:val="0"/>
                <w:bCs w:val="0"/>
                <w:color w:val="auto"/>
                <w:kern w:val="0"/>
                <w:sz w:val="28"/>
                <w:szCs w:val="28"/>
                <w:highlight w:val="none"/>
              </w:rPr>
              <w:t xml:space="preserve"> </w:t>
            </w:r>
          </w:p>
        </w:tc>
        <w:tc>
          <w:tcPr>
            <w:tcW w:w="6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原则上每次上门提供服务不少于1次</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6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根据护理对象需要，必要时。</w:t>
            </w:r>
            <w:r>
              <w:rPr>
                <w:rFonts w:hint="eastAsia" w:ascii="Times New Roman" w:hAnsi="Times New Roman" w:eastAsia="方正仿宋_GBK" w:cs="方正仿宋_GBK"/>
                <w:b w:val="0"/>
                <w:bCs w:val="0"/>
                <w:color w:val="auto"/>
                <w:kern w:val="0"/>
                <w:sz w:val="28"/>
                <w:szCs w:val="28"/>
                <w:highlight w:val="none"/>
                <w:lang w:eastAsia="zh-CN"/>
              </w:rPr>
              <w:t>（重度失能人员必选）</w:t>
            </w:r>
            <w:r>
              <w:rPr>
                <w:rFonts w:hint="eastAsia" w:ascii="Times New Roman" w:hAnsi="Times New Roman" w:eastAsia="方正仿宋_GBK" w:cs="方正仿宋_GBK"/>
                <w:b w:val="0"/>
                <w:bCs w:val="0"/>
                <w:color w:val="auto"/>
                <w:kern w:val="0"/>
                <w:sz w:val="28"/>
                <w:szCs w:val="28"/>
                <w:highlight w:val="none"/>
              </w:rPr>
              <w:t xml:space="preserve"> </w:t>
            </w:r>
          </w:p>
        </w:tc>
      </w:tr>
      <w:tr>
        <w:tblPrEx>
          <w:tblCellMar>
            <w:top w:w="0" w:type="dxa"/>
            <w:left w:w="108" w:type="dxa"/>
            <w:bottom w:w="0" w:type="dxa"/>
            <w:right w:w="108" w:type="dxa"/>
          </w:tblCellMar>
        </w:tblPrEx>
        <w:trPr>
          <w:trHeight w:val="1030"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4</w:t>
            </w:r>
          </w:p>
        </w:tc>
        <w:tc>
          <w:tcPr>
            <w:tcW w:w="20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排泄</w:t>
            </w:r>
          </w:p>
          <w:p>
            <w:pPr>
              <w:keepNext w:val="0"/>
              <w:keepLines w:val="0"/>
              <w:pageBreakBefore w:val="0"/>
              <w:widowControl/>
              <w:kinsoku/>
              <w:wordWrap/>
              <w:overflowPunct/>
              <w:topLinePunct w:val="0"/>
              <w:autoSpaceDE/>
              <w:autoSpaceDN/>
              <w:bidi w:val="0"/>
              <w:adjustRightInd/>
              <w:spacing w:line="4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62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失禁护理</w:t>
            </w:r>
          </w:p>
        </w:tc>
        <w:tc>
          <w:tcPr>
            <w:tcW w:w="6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为大小便失禁的护理对象进行护理，保持局部皮肤的清洁、干燥、舒适、无异味。</w:t>
            </w:r>
          </w:p>
        </w:tc>
        <w:tc>
          <w:tcPr>
            <w:tcW w:w="8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护理对象皮肤清洁、干燥、舒适、无异味；</w:t>
            </w:r>
          </w:p>
          <w:p>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护理对象床单位清洁、干燥。</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原则上每次上门提供服务不少于1次</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根据护理对象需要，必要时。</w:t>
            </w:r>
          </w:p>
        </w:tc>
        <w:tc>
          <w:tcPr>
            <w:tcW w:w="6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原则上每次上门提供服务不少于1次</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6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根据护理对象需要，必要时。</w:t>
            </w:r>
          </w:p>
        </w:tc>
      </w:tr>
      <w:tr>
        <w:tblPrEx>
          <w:tblCellMar>
            <w:top w:w="0" w:type="dxa"/>
            <w:left w:w="108" w:type="dxa"/>
            <w:bottom w:w="0" w:type="dxa"/>
            <w:right w:w="108" w:type="dxa"/>
          </w:tblCellMar>
        </w:tblPrEx>
        <w:trPr>
          <w:trHeight w:val="1257"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5</w:t>
            </w:r>
          </w:p>
        </w:tc>
        <w:tc>
          <w:tcPr>
            <w:tcW w:w="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排泄</w:t>
            </w:r>
          </w:p>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6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床上使用</w:t>
            </w:r>
          </w:p>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便器</w:t>
            </w:r>
          </w:p>
        </w:tc>
        <w:tc>
          <w:tcPr>
            <w:tcW w:w="6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根据护理对象生活自理能力及活动情况，帮助其在床上使用便器，满足其需求。</w:t>
            </w:r>
          </w:p>
        </w:tc>
        <w:tc>
          <w:tcPr>
            <w:tcW w:w="8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护理对象皮肤清洁、干燥、舒适、无异味；</w:t>
            </w:r>
          </w:p>
          <w:p>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护理对象床单位清洁、干燥；</w:t>
            </w:r>
          </w:p>
          <w:p>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3</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选择便器合适，常规床上便器使用熟练。</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原则上每次上门提供服务不少于1次</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根据护理对象需要，必要时。</w:t>
            </w:r>
          </w:p>
        </w:tc>
        <w:tc>
          <w:tcPr>
            <w:tcW w:w="6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原则上每次上门提供服务不少于1次</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6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根据护理对象需要，必要时。</w:t>
            </w:r>
          </w:p>
        </w:tc>
      </w:tr>
      <w:tr>
        <w:tblPrEx>
          <w:tblCellMar>
            <w:top w:w="0" w:type="dxa"/>
            <w:left w:w="108" w:type="dxa"/>
            <w:bottom w:w="0" w:type="dxa"/>
            <w:right w:w="108" w:type="dxa"/>
          </w:tblCellMar>
        </w:tblPrEx>
        <w:trPr>
          <w:trHeight w:val="1417"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6</w:t>
            </w:r>
          </w:p>
        </w:tc>
        <w:tc>
          <w:tcPr>
            <w:tcW w:w="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排泄</w:t>
            </w:r>
          </w:p>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62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人工取便</w:t>
            </w:r>
          </w:p>
        </w:tc>
        <w:tc>
          <w:tcPr>
            <w:tcW w:w="6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根据护理对象的身体状况实施人工取便。</w:t>
            </w:r>
          </w:p>
        </w:tc>
        <w:tc>
          <w:tcPr>
            <w:tcW w:w="8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护理对象皮肤清洁、干燥、舒适、无异味；</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护理对象床单位清洁、干燥；</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3</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有安全防护措施；</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4</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合理使用润滑剂，动作轻柔。</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原则上每次上门提供服务不少于1次</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根据护理对象需要，必要时。</w:t>
            </w:r>
          </w:p>
        </w:tc>
        <w:tc>
          <w:tcPr>
            <w:tcW w:w="6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原则上每次上门提供服务不少于1次</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6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根据护理对象需要，必要时。</w:t>
            </w:r>
          </w:p>
        </w:tc>
      </w:tr>
      <w:tr>
        <w:tblPrEx>
          <w:tblCellMar>
            <w:top w:w="0" w:type="dxa"/>
            <w:left w:w="108" w:type="dxa"/>
            <w:bottom w:w="0" w:type="dxa"/>
            <w:right w:w="108" w:type="dxa"/>
          </w:tblCellMar>
        </w:tblPrEx>
        <w:trPr>
          <w:trHeight w:val="2260"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7</w:t>
            </w:r>
          </w:p>
        </w:tc>
        <w:tc>
          <w:tcPr>
            <w:tcW w:w="20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移动</w:t>
            </w:r>
          </w:p>
          <w:p>
            <w:pPr>
              <w:keepNext w:val="0"/>
              <w:keepLines w:val="0"/>
              <w:pageBreakBefore w:val="0"/>
              <w:widowControl/>
              <w:kinsoku/>
              <w:wordWrap/>
              <w:overflowPunct/>
              <w:topLinePunct w:val="0"/>
              <w:autoSpaceDE/>
              <w:autoSpaceDN/>
              <w:bidi w:val="0"/>
              <w:adjustRightInd/>
              <w:spacing w:line="3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62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协助翻身叩背排痰</w:t>
            </w:r>
          </w:p>
        </w:tc>
        <w:tc>
          <w:tcPr>
            <w:tcW w:w="6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根据护理对象的情况、有无手术、引流管、骨折和牵引等，选择合适的翻身频次、体位、方式帮助护理对象翻身拍背，促进排痰。</w:t>
            </w:r>
          </w:p>
        </w:tc>
        <w:tc>
          <w:tcPr>
            <w:tcW w:w="8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有效清除护理对象痰液，有安全防范措施；</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 xml:space="preserve">保持护理对象床单位清洁、干燥； </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3</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护理对象保持良姿位；</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4</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达到有效翻身，即翻身的角度、翻身垫的合理使用；</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5</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人工叩背方法正确，达到有效排痰。</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原则上每次上门提供服务不少于1次</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根据护理对象需要，每天不少于3次。</w:t>
            </w:r>
          </w:p>
        </w:tc>
        <w:tc>
          <w:tcPr>
            <w:tcW w:w="6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原则上每次上门提供服务不少于1次</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6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根据护理对象需要，每天不少于3次。</w:t>
            </w:r>
          </w:p>
        </w:tc>
      </w:tr>
      <w:tr>
        <w:tblPrEx>
          <w:tblCellMar>
            <w:top w:w="0" w:type="dxa"/>
            <w:left w:w="108" w:type="dxa"/>
            <w:bottom w:w="0" w:type="dxa"/>
            <w:right w:w="108" w:type="dxa"/>
          </w:tblCellMar>
        </w:tblPrEx>
        <w:trPr>
          <w:trHeight w:val="975"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8</w:t>
            </w:r>
          </w:p>
        </w:tc>
        <w:tc>
          <w:tcPr>
            <w:tcW w:w="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移动</w:t>
            </w:r>
          </w:p>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6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hint="eastAsia"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借助器具</w:t>
            </w:r>
          </w:p>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移动</w:t>
            </w:r>
          </w:p>
        </w:tc>
        <w:tc>
          <w:tcPr>
            <w:tcW w:w="6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根据护理对象情况和需求，选择适宜的移动工具（轮椅、平车等），帮助护理对象在室内或住宅附近进行移动。</w:t>
            </w:r>
          </w:p>
        </w:tc>
        <w:tc>
          <w:tcPr>
            <w:tcW w:w="8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对护理对象安全防范到位，未出现跌倒等不安全情况；</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借助器选择合适。</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lang w:val="en-US" w:eastAsia="zh-CN"/>
              </w:rPr>
              <w:t>3</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lang w:val="en-US" w:eastAsia="zh-CN"/>
              </w:rPr>
              <w:t>每次移动时间原则上不低于50分钟，可根据护理对象具体需要调整。</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根据护理对象需要，4次/月</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根据护理对象需要，每天不少于1次。</w:t>
            </w:r>
          </w:p>
        </w:tc>
        <w:tc>
          <w:tcPr>
            <w:tcW w:w="6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根据护理对象需要，4次/月</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6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根据护理对象需要，每天不少于1次。</w:t>
            </w:r>
          </w:p>
        </w:tc>
      </w:tr>
      <w:tr>
        <w:tblPrEx>
          <w:tblCellMar>
            <w:top w:w="0" w:type="dxa"/>
            <w:left w:w="108" w:type="dxa"/>
            <w:bottom w:w="0" w:type="dxa"/>
            <w:right w:w="108" w:type="dxa"/>
          </w:tblCellMar>
        </w:tblPrEx>
        <w:trPr>
          <w:trHeight w:val="1138"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9</w:t>
            </w:r>
          </w:p>
        </w:tc>
        <w:tc>
          <w:tcPr>
            <w:tcW w:w="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清洁</w:t>
            </w:r>
          </w:p>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p>
        </w:tc>
        <w:tc>
          <w:tcPr>
            <w:tcW w:w="6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压力性损伤（压疮）预防和护理</w:t>
            </w:r>
          </w:p>
        </w:tc>
        <w:tc>
          <w:tcPr>
            <w:tcW w:w="6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snapToGrid w:val="0"/>
                <w:color w:val="auto"/>
                <w:kern w:val="0"/>
                <w:sz w:val="28"/>
                <w:szCs w:val="28"/>
                <w:highlight w:val="none"/>
              </w:rPr>
              <w:t>对易发生压疮的护理对象采取定时翻身、气垫减压等方法预防压疮的发生。为护理对象提供压疮护理服务。</w:t>
            </w:r>
          </w:p>
        </w:tc>
        <w:tc>
          <w:tcPr>
            <w:tcW w:w="8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护理对象皮肤色泽正常，骨突部位无新增压痕、破损等情况；</w:t>
            </w:r>
          </w:p>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护理对象皮肤干燥、清洁无污垢、皱褶，腋窝、腘窝、会阴、乳房下等处无异味；</w:t>
            </w:r>
          </w:p>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3</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护理对象床单位清洁、干燥、无渣屑；</w:t>
            </w:r>
          </w:p>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4</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护理对象保持合适的体位；</w:t>
            </w:r>
          </w:p>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5</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有压疮评估记录，合理使用翻身用品和气垫床等。</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lang w:val="en-US" w:eastAsia="zh-CN"/>
              </w:rPr>
              <w:t>4</w:t>
            </w:r>
            <w:r>
              <w:rPr>
                <w:rFonts w:hint="eastAsia" w:ascii="Times New Roman" w:hAnsi="Times New Roman" w:eastAsia="方正仿宋_GBK" w:cs="方正仿宋_GBK"/>
                <w:b w:val="0"/>
                <w:bCs w:val="0"/>
                <w:color w:val="auto"/>
                <w:kern w:val="0"/>
                <w:sz w:val="28"/>
                <w:szCs w:val="28"/>
                <w:highlight w:val="none"/>
              </w:rPr>
              <w:t>次/月</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根据护理对象需要，必要时。</w:t>
            </w:r>
          </w:p>
        </w:tc>
        <w:tc>
          <w:tcPr>
            <w:tcW w:w="6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lang w:val="en-US" w:eastAsia="zh-CN"/>
              </w:rPr>
              <w:t>4</w:t>
            </w:r>
            <w:r>
              <w:rPr>
                <w:rFonts w:hint="eastAsia" w:ascii="Times New Roman" w:hAnsi="Times New Roman" w:eastAsia="方正仿宋_GBK" w:cs="方正仿宋_GBK"/>
                <w:b w:val="0"/>
                <w:bCs w:val="0"/>
                <w:color w:val="auto"/>
                <w:kern w:val="0"/>
                <w:sz w:val="28"/>
                <w:szCs w:val="28"/>
                <w:highlight w:val="none"/>
              </w:rPr>
              <w:t>次/月</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6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根据护理对象需要，必要时。</w:t>
            </w:r>
          </w:p>
        </w:tc>
      </w:tr>
      <w:tr>
        <w:tblPrEx>
          <w:tblCellMar>
            <w:top w:w="0" w:type="dxa"/>
            <w:left w:w="108" w:type="dxa"/>
            <w:bottom w:w="0" w:type="dxa"/>
            <w:right w:w="108" w:type="dxa"/>
          </w:tblCellMar>
        </w:tblPrEx>
        <w:trPr>
          <w:trHeight w:val="1538"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10</w:t>
            </w:r>
          </w:p>
        </w:tc>
        <w:tc>
          <w:tcPr>
            <w:tcW w:w="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清洁</w:t>
            </w:r>
          </w:p>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6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头面部清洁、梳理</w:t>
            </w:r>
          </w:p>
        </w:tc>
        <w:tc>
          <w:tcPr>
            <w:tcW w:w="6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让护理对象选择舒适体位，帮助其清洁面部和梳头，为男性护理对象剃须，确保干净、整洁、舒适。</w:t>
            </w:r>
          </w:p>
        </w:tc>
        <w:tc>
          <w:tcPr>
            <w:tcW w:w="8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护理对象头面部干净、整洁，无异味；</w:t>
            </w:r>
          </w:p>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确保护理对象无遗留须发引起不适。</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原则上每次上门提供服务不少于1次</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p>
        </w:tc>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面部清洁不低于2次/日，梳头不低于2次/日，剃须不低于2次/周。</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c>
          <w:tcPr>
            <w:tcW w:w="6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原则上每次上门提供服务不少于1次</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c>
          <w:tcPr>
            <w:tcW w:w="6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面部清洁不低于2次/日，梳头不低于2次/日，剃须不低于2次/周。</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r>
      <w:tr>
        <w:tblPrEx>
          <w:tblCellMar>
            <w:top w:w="0" w:type="dxa"/>
            <w:left w:w="108" w:type="dxa"/>
            <w:bottom w:w="0" w:type="dxa"/>
            <w:right w:w="108" w:type="dxa"/>
          </w:tblCellMar>
        </w:tblPrEx>
        <w:trPr>
          <w:trHeight w:val="1322"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11</w:t>
            </w:r>
          </w:p>
        </w:tc>
        <w:tc>
          <w:tcPr>
            <w:tcW w:w="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清洁</w:t>
            </w:r>
          </w:p>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6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洗发</w:t>
            </w:r>
          </w:p>
        </w:tc>
        <w:tc>
          <w:tcPr>
            <w:tcW w:w="6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让护理对象选择舒适体位，帮助护理对象清洗头发，水温合适、操作轻柔、洗后吹干。</w:t>
            </w:r>
          </w:p>
        </w:tc>
        <w:tc>
          <w:tcPr>
            <w:tcW w:w="8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护理对象头发干净、整洁、干燥，无异味。</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根据护理对象身体状况，原则上冬季2次/月，夏季4次/月。</w:t>
            </w:r>
          </w:p>
        </w:tc>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根据护理对象身体状况，原则上冬季1次/周，夏季2次/周。</w:t>
            </w:r>
          </w:p>
        </w:tc>
        <w:tc>
          <w:tcPr>
            <w:tcW w:w="6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根据护理对象身体状况，原则上冬季2次/月，夏季4次/月。</w:t>
            </w:r>
          </w:p>
        </w:tc>
        <w:tc>
          <w:tcPr>
            <w:tcW w:w="6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根据护理对象身体状况，原则上冬季1次/周，夏季2次/周。</w:t>
            </w:r>
          </w:p>
        </w:tc>
      </w:tr>
      <w:tr>
        <w:tblPrEx>
          <w:tblCellMar>
            <w:top w:w="0" w:type="dxa"/>
            <w:left w:w="108" w:type="dxa"/>
            <w:bottom w:w="0" w:type="dxa"/>
            <w:right w:w="108" w:type="dxa"/>
          </w:tblCellMar>
        </w:tblPrEx>
        <w:trPr>
          <w:trHeight w:val="1347"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val="en-US" w:eastAsia="zh-CN"/>
              </w:rPr>
              <w:t>12</w:t>
            </w:r>
          </w:p>
        </w:tc>
        <w:tc>
          <w:tcPr>
            <w:tcW w:w="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清洁</w:t>
            </w:r>
            <w:r>
              <w:rPr>
                <w:rFonts w:hint="eastAsia" w:ascii="Times New Roman" w:hAnsi="Times New Roman" w:eastAsia="方正仿宋_GBK" w:cs="方正仿宋_GBK"/>
                <w:b w:val="0"/>
                <w:bCs w:val="0"/>
                <w:color w:val="auto"/>
                <w:kern w:val="0"/>
                <w:sz w:val="28"/>
                <w:szCs w:val="28"/>
                <w:highlight w:val="none"/>
              </w:rPr>
              <w:t>照料</w:t>
            </w:r>
          </w:p>
        </w:tc>
        <w:tc>
          <w:tcPr>
            <w:tcW w:w="6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理发</w:t>
            </w:r>
          </w:p>
        </w:tc>
        <w:tc>
          <w:tcPr>
            <w:tcW w:w="6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定期为护理对象提供理发服务。</w:t>
            </w:r>
          </w:p>
        </w:tc>
        <w:tc>
          <w:tcPr>
            <w:tcW w:w="8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按</w:t>
            </w:r>
            <w:r>
              <w:rPr>
                <w:rFonts w:hint="eastAsia" w:ascii="Times New Roman" w:hAnsi="Times New Roman" w:eastAsia="方正仿宋_GBK" w:cs="方正仿宋_GBK"/>
                <w:b w:val="0"/>
                <w:bCs w:val="0"/>
                <w:color w:val="auto"/>
                <w:kern w:val="0"/>
                <w:sz w:val="28"/>
                <w:szCs w:val="28"/>
                <w:highlight w:val="none"/>
              </w:rPr>
              <w:t>男士短发</w:t>
            </w:r>
            <w:r>
              <w:rPr>
                <w:rFonts w:hint="eastAsia" w:ascii="Times New Roman" w:hAnsi="Times New Roman" w:eastAsia="方正仿宋_GBK" w:cs="方正仿宋_GBK"/>
                <w:b w:val="0"/>
                <w:bCs w:val="0"/>
                <w:color w:val="auto"/>
                <w:kern w:val="0"/>
                <w:sz w:val="28"/>
                <w:szCs w:val="28"/>
                <w:highlight w:val="none"/>
                <w:lang w:eastAsia="zh-CN"/>
              </w:rPr>
              <w:t>、</w:t>
            </w:r>
            <w:r>
              <w:rPr>
                <w:rFonts w:hint="eastAsia" w:ascii="Times New Roman" w:hAnsi="Times New Roman" w:eastAsia="方正仿宋_GBK" w:cs="方正仿宋_GBK"/>
                <w:b w:val="0"/>
                <w:bCs w:val="0"/>
                <w:color w:val="auto"/>
                <w:kern w:val="0"/>
                <w:sz w:val="28"/>
                <w:szCs w:val="28"/>
                <w:highlight w:val="none"/>
              </w:rPr>
              <w:t>女士中短发</w:t>
            </w:r>
            <w:r>
              <w:rPr>
                <w:rFonts w:hint="eastAsia" w:ascii="Times New Roman" w:hAnsi="Times New Roman" w:eastAsia="方正仿宋_GBK" w:cs="方正仿宋_GBK"/>
                <w:b w:val="0"/>
                <w:bCs w:val="0"/>
                <w:color w:val="auto"/>
                <w:kern w:val="0"/>
                <w:sz w:val="28"/>
                <w:szCs w:val="28"/>
                <w:highlight w:val="none"/>
                <w:lang w:eastAsia="zh-CN"/>
              </w:rPr>
              <w:t>，由具备理发技能的人员完成。</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根据护理对象身体状况，原则上</w:t>
            </w: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lang w:val="en-US" w:eastAsia="zh-CN"/>
              </w:rPr>
              <w:t>1</w:t>
            </w:r>
            <w:r>
              <w:rPr>
                <w:rFonts w:hint="eastAsia" w:ascii="Times New Roman" w:hAnsi="Times New Roman" w:eastAsia="方正仿宋_GBK" w:cs="方正仿宋_GBK"/>
                <w:b w:val="0"/>
                <w:bCs w:val="0"/>
                <w:color w:val="auto"/>
                <w:kern w:val="0"/>
                <w:sz w:val="28"/>
                <w:szCs w:val="28"/>
                <w:highlight w:val="none"/>
              </w:rPr>
              <w:t>次/月。</w:t>
            </w:r>
          </w:p>
        </w:tc>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根据护理对象身体状况，原则上</w:t>
            </w:r>
            <w:r>
              <w:rPr>
                <w:rFonts w:hint="eastAsia" w:ascii="Times New Roman" w:hAnsi="Times New Roman" w:eastAsia="方正仿宋_GBK" w:cs="方正仿宋_GBK"/>
                <w:b w:val="0"/>
                <w:bCs w:val="0"/>
                <w:color w:val="auto"/>
                <w:kern w:val="0"/>
                <w:sz w:val="28"/>
                <w:szCs w:val="28"/>
                <w:highlight w:val="none"/>
                <w:lang w:val="en-US" w:eastAsia="zh-CN"/>
              </w:rPr>
              <w:t>1</w:t>
            </w:r>
            <w:r>
              <w:rPr>
                <w:rFonts w:hint="eastAsia" w:ascii="Times New Roman" w:hAnsi="Times New Roman" w:eastAsia="方正仿宋_GBK" w:cs="方正仿宋_GBK"/>
                <w:b w:val="0"/>
                <w:bCs w:val="0"/>
                <w:color w:val="auto"/>
                <w:kern w:val="0"/>
                <w:sz w:val="28"/>
                <w:szCs w:val="28"/>
                <w:highlight w:val="none"/>
              </w:rPr>
              <w:t>次/月。</w:t>
            </w:r>
          </w:p>
        </w:tc>
        <w:tc>
          <w:tcPr>
            <w:tcW w:w="6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根据护理对象身体状况，原则上</w:t>
            </w: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lang w:val="en-US" w:eastAsia="zh-CN"/>
              </w:rPr>
              <w:t>1</w:t>
            </w:r>
            <w:r>
              <w:rPr>
                <w:rFonts w:hint="eastAsia" w:ascii="Times New Roman" w:hAnsi="Times New Roman" w:eastAsia="方正仿宋_GBK" w:cs="方正仿宋_GBK"/>
                <w:b w:val="0"/>
                <w:bCs w:val="0"/>
                <w:color w:val="auto"/>
                <w:kern w:val="0"/>
                <w:sz w:val="28"/>
                <w:szCs w:val="28"/>
                <w:highlight w:val="none"/>
              </w:rPr>
              <w:t>次/月。</w:t>
            </w:r>
          </w:p>
        </w:tc>
        <w:tc>
          <w:tcPr>
            <w:tcW w:w="6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根据护理对象身体状况，原则上</w:t>
            </w:r>
            <w:r>
              <w:rPr>
                <w:rFonts w:hint="eastAsia" w:ascii="Times New Roman" w:hAnsi="Times New Roman" w:eastAsia="方正仿宋_GBK" w:cs="方正仿宋_GBK"/>
                <w:b w:val="0"/>
                <w:bCs w:val="0"/>
                <w:color w:val="auto"/>
                <w:kern w:val="0"/>
                <w:sz w:val="28"/>
                <w:szCs w:val="28"/>
                <w:highlight w:val="none"/>
                <w:lang w:val="en-US" w:eastAsia="zh-CN"/>
              </w:rPr>
              <w:t>1</w:t>
            </w:r>
            <w:r>
              <w:rPr>
                <w:rFonts w:hint="eastAsia" w:ascii="Times New Roman" w:hAnsi="Times New Roman" w:eastAsia="方正仿宋_GBK" w:cs="方正仿宋_GBK"/>
                <w:b w:val="0"/>
                <w:bCs w:val="0"/>
                <w:color w:val="auto"/>
                <w:kern w:val="0"/>
                <w:sz w:val="28"/>
                <w:szCs w:val="28"/>
                <w:highlight w:val="none"/>
              </w:rPr>
              <w:t>次/月。</w:t>
            </w:r>
          </w:p>
        </w:tc>
      </w:tr>
      <w:tr>
        <w:tblPrEx>
          <w:tblCellMar>
            <w:top w:w="0" w:type="dxa"/>
            <w:left w:w="108" w:type="dxa"/>
            <w:bottom w:w="0" w:type="dxa"/>
            <w:right w:w="108" w:type="dxa"/>
          </w:tblCellMar>
        </w:tblPrEx>
        <w:trPr>
          <w:trHeight w:val="1412"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lang w:val="en-US" w:eastAsia="zh-CN"/>
              </w:rPr>
              <w:t>13</w:t>
            </w:r>
          </w:p>
        </w:tc>
        <w:tc>
          <w:tcPr>
            <w:tcW w:w="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清洁</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6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指/趾甲护理</w:t>
            </w:r>
          </w:p>
        </w:tc>
        <w:tc>
          <w:tcPr>
            <w:tcW w:w="6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根据护理对象的病情、意识、生活自理能力以及个人卫生习惯，选择合适的工具对指/趾甲适时进行护理（不包括处理灰指甲）。</w:t>
            </w:r>
          </w:p>
        </w:tc>
        <w:tc>
          <w:tcPr>
            <w:tcW w:w="8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护理对象指/趾甲干净、整洁；</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避免指/趾甲过长藏垢或弄伤他人或本人。</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每月不少于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p>
        </w:tc>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rPr>
              <w:t>2次/月。</w:t>
            </w:r>
          </w:p>
        </w:tc>
        <w:tc>
          <w:tcPr>
            <w:tcW w:w="6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每月不少于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p>
        </w:tc>
        <w:tc>
          <w:tcPr>
            <w:tcW w:w="6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rPr>
              <w:t>2次/月。</w:t>
            </w:r>
          </w:p>
        </w:tc>
      </w:tr>
      <w:tr>
        <w:tblPrEx>
          <w:tblCellMar>
            <w:top w:w="0" w:type="dxa"/>
            <w:left w:w="108" w:type="dxa"/>
            <w:bottom w:w="0" w:type="dxa"/>
            <w:right w:w="108" w:type="dxa"/>
          </w:tblCellMar>
        </w:tblPrEx>
        <w:trPr>
          <w:trHeight w:val="1147"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rPr>
              <w:t>1</w:t>
            </w:r>
            <w:r>
              <w:rPr>
                <w:rFonts w:hint="eastAsia" w:ascii="Times New Roman" w:hAnsi="Times New Roman" w:eastAsia="方正仿宋_GBK" w:cs="方正仿宋_GBK"/>
                <w:b w:val="0"/>
                <w:bCs w:val="0"/>
                <w:color w:val="auto"/>
                <w:kern w:val="0"/>
                <w:sz w:val="28"/>
                <w:szCs w:val="28"/>
                <w:highlight w:val="none"/>
                <w:lang w:val="en-US" w:eastAsia="zh-CN"/>
              </w:rPr>
              <w:t>4</w:t>
            </w:r>
          </w:p>
        </w:tc>
        <w:tc>
          <w:tcPr>
            <w:tcW w:w="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清洁</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62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手、足部</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清洁</w:t>
            </w:r>
          </w:p>
        </w:tc>
        <w:tc>
          <w:tcPr>
            <w:tcW w:w="6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根据护理对象的病情，手、足部皮肤情况，选择适宜的方法给予清洗手和足部。</w:t>
            </w:r>
          </w:p>
        </w:tc>
        <w:tc>
          <w:tcPr>
            <w:tcW w:w="8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护理对象手、足部干净，无异味（不包括足部疾病引发的异味）。</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原则上每次上门提供服务不少于1次</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p>
        </w:tc>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手部清洁不</w:t>
            </w:r>
            <w:r>
              <w:rPr>
                <w:rFonts w:hint="eastAsia" w:ascii="Times New Roman" w:hAnsi="Times New Roman" w:eastAsia="方正仿宋_GBK" w:cs="方正仿宋_GBK"/>
                <w:b w:val="0"/>
                <w:bCs w:val="0"/>
                <w:color w:val="auto"/>
                <w:kern w:val="0"/>
                <w:sz w:val="28"/>
                <w:szCs w:val="28"/>
                <w:highlight w:val="none"/>
                <w:lang w:eastAsia="zh-CN"/>
              </w:rPr>
              <w:t>少</w:t>
            </w:r>
            <w:r>
              <w:rPr>
                <w:rFonts w:hint="eastAsia" w:ascii="Times New Roman" w:hAnsi="Times New Roman" w:eastAsia="方正仿宋_GBK" w:cs="方正仿宋_GBK"/>
                <w:b w:val="0"/>
                <w:bCs w:val="0"/>
                <w:color w:val="auto"/>
                <w:kern w:val="0"/>
                <w:sz w:val="28"/>
                <w:szCs w:val="28"/>
                <w:highlight w:val="none"/>
              </w:rPr>
              <w:t>于3次/日，足部清洁不</w:t>
            </w:r>
            <w:r>
              <w:rPr>
                <w:rFonts w:hint="eastAsia" w:ascii="Times New Roman" w:hAnsi="Times New Roman" w:eastAsia="方正仿宋_GBK" w:cs="方正仿宋_GBK"/>
                <w:b w:val="0"/>
                <w:bCs w:val="0"/>
                <w:color w:val="auto"/>
                <w:kern w:val="0"/>
                <w:sz w:val="28"/>
                <w:szCs w:val="28"/>
                <w:highlight w:val="none"/>
                <w:lang w:eastAsia="zh-CN"/>
              </w:rPr>
              <w:t>少</w:t>
            </w:r>
            <w:r>
              <w:rPr>
                <w:rFonts w:hint="eastAsia" w:ascii="Times New Roman" w:hAnsi="Times New Roman" w:eastAsia="方正仿宋_GBK" w:cs="方正仿宋_GBK"/>
                <w:b w:val="0"/>
                <w:bCs w:val="0"/>
                <w:color w:val="auto"/>
                <w:kern w:val="0"/>
                <w:sz w:val="28"/>
                <w:szCs w:val="28"/>
                <w:highlight w:val="none"/>
              </w:rPr>
              <w:t>于1次/日。</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c>
          <w:tcPr>
            <w:tcW w:w="6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原则上每次上门提供服务不少于1次</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c>
          <w:tcPr>
            <w:tcW w:w="6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手部清洁不</w:t>
            </w:r>
            <w:r>
              <w:rPr>
                <w:rFonts w:hint="eastAsia" w:ascii="Times New Roman" w:hAnsi="Times New Roman" w:eastAsia="方正仿宋_GBK" w:cs="方正仿宋_GBK"/>
                <w:b w:val="0"/>
                <w:bCs w:val="0"/>
                <w:color w:val="auto"/>
                <w:kern w:val="0"/>
                <w:sz w:val="28"/>
                <w:szCs w:val="28"/>
                <w:highlight w:val="none"/>
                <w:lang w:eastAsia="zh-CN"/>
              </w:rPr>
              <w:t>少</w:t>
            </w:r>
            <w:r>
              <w:rPr>
                <w:rFonts w:hint="eastAsia" w:ascii="Times New Roman" w:hAnsi="Times New Roman" w:eastAsia="方正仿宋_GBK" w:cs="方正仿宋_GBK"/>
                <w:b w:val="0"/>
                <w:bCs w:val="0"/>
                <w:color w:val="auto"/>
                <w:kern w:val="0"/>
                <w:sz w:val="28"/>
                <w:szCs w:val="28"/>
                <w:highlight w:val="none"/>
              </w:rPr>
              <w:t>于3次/日，足部清洁不</w:t>
            </w:r>
            <w:r>
              <w:rPr>
                <w:rFonts w:hint="eastAsia" w:ascii="Times New Roman" w:hAnsi="Times New Roman" w:eastAsia="方正仿宋_GBK" w:cs="方正仿宋_GBK"/>
                <w:b w:val="0"/>
                <w:bCs w:val="0"/>
                <w:color w:val="auto"/>
                <w:kern w:val="0"/>
                <w:sz w:val="28"/>
                <w:szCs w:val="28"/>
                <w:highlight w:val="none"/>
                <w:lang w:eastAsia="zh-CN"/>
              </w:rPr>
              <w:t>少</w:t>
            </w:r>
            <w:r>
              <w:rPr>
                <w:rFonts w:hint="eastAsia" w:ascii="Times New Roman" w:hAnsi="Times New Roman" w:eastAsia="方正仿宋_GBK" w:cs="方正仿宋_GBK"/>
                <w:b w:val="0"/>
                <w:bCs w:val="0"/>
                <w:color w:val="auto"/>
                <w:kern w:val="0"/>
                <w:sz w:val="28"/>
                <w:szCs w:val="28"/>
                <w:highlight w:val="none"/>
              </w:rPr>
              <w:t>于1次/日。</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r>
      <w:tr>
        <w:tblPrEx>
          <w:tblCellMar>
            <w:top w:w="0" w:type="dxa"/>
            <w:left w:w="108" w:type="dxa"/>
            <w:bottom w:w="0" w:type="dxa"/>
            <w:right w:w="108" w:type="dxa"/>
          </w:tblCellMar>
        </w:tblPrEx>
        <w:trPr>
          <w:trHeight w:val="1329"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20" w:lineRule="exact"/>
              <w:jc w:val="center"/>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rPr>
              <w:t>1</w:t>
            </w:r>
            <w:r>
              <w:rPr>
                <w:rFonts w:hint="eastAsia" w:ascii="Times New Roman" w:hAnsi="Times New Roman" w:eastAsia="方正仿宋_GBK" w:cs="方正仿宋_GBK"/>
                <w:b w:val="0"/>
                <w:bCs w:val="0"/>
                <w:color w:val="auto"/>
                <w:kern w:val="0"/>
                <w:sz w:val="28"/>
                <w:szCs w:val="28"/>
                <w:highlight w:val="none"/>
                <w:lang w:val="en-US" w:eastAsia="zh-CN"/>
              </w:rPr>
              <w:t>5</w:t>
            </w:r>
          </w:p>
        </w:tc>
        <w:tc>
          <w:tcPr>
            <w:tcW w:w="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2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清洁</w:t>
            </w:r>
          </w:p>
          <w:p>
            <w:pPr>
              <w:keepNext w:val="0"/>
              <w:keepLines w:val="0"/>
              <w:pageBreakBefore w:val="0"/>
              <w:widowControl/>
              <w:kinsoku/>
              <w:wordWrap/>
              <w:overflowPunct/>
              <w:topLinePunct w:val="0"/>
              <w:autoSpaceDE/>
              <w:autoSpaceDN/>
              <w:bidi w:val="0"/>
              <w:adjustRightInd/>
              <w:snapToGrid w:val="0"/>
              <w:spacing w:line="42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62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2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温水擦浴</w:t>
            </w:r>
          </w:p>
        </w:tc>
        <w:tc>
          <w:tcPr>
            <w:tcW w:w="6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2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根据护理对象生活自理能力及皮肤完整性等，选择适当时间进行温水擦浴。</w:t>
            </w:r>
          </w:p>
        </w:tc>
        <w:tc>
          <w:tcPr>
            <w:tcW w:w="8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护理服务安全防范措施完备，注意护理对象隐私保护和健康保护；</w:t>
            </w:r>
          </w:p>
          <w:p>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护理对象身体干净、整洁，无异味（不包括足部疾病引发的异味）；</w:t>
            </w:r>
          </w:p>
          <w:p>
            <w:pPr>
              <w:keepNext w:val="0"/>
              <w:keepLines w:val="0"/>
              <w:pageBreakBefore w:val="0"/>
              <w:widowControl/>
              <w:kinsoku/>
              <w:wordWrap/>
              <w:overflowPunct/>
              <w:topLinePunct w:val="0"/>
              <w:autoSpaceDE/>
              <w:autoSpaceDN/>
              <w:bidi w:val="0"/>
              <w:adjustRightInd/>
              <w:snapToGrid w:val="0"/>
              <w:spacing w:line="44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3</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无因水温不合适而导致烫伤发生。</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根据护理对象身体状况，冬季4次/月，夏季8次/月。</w:t>
            </w:r>
          </w:p>
        </w:tc>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根据护理对象身体状况，冬季1次/周，夏季2次/周。</w:t>
            </w:r>
          </w:p>
        </w:tc>
        <w:tc>
          <w:tcPr>
            <w:tcW w:w="6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根据护理对象身体状况，冬季4次/月，夏季8次/月。</w:t>
            </w:r>
          </w:p>
        </w:tc>
        <w:tc>
          <w:tcPr>
            <w:tcW w:w="6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根据护理对象身体状况，冬季1次/周，夏季2次/周。</w:t>
            </w:r>
          </w:p>
        </w:tc>
      </w:tr>
      <w:tr>
        <w:tblPrEx>
          <w:tblCellMar>
            <w:top w:w="0" w:type="dxa"/>
            <w:left w:w="108" w:type="dxa"/>
            <w:bottom w:w="0" w:type="dxa"/>
            <w:right w:w="108" w:type="dxa"/>
          </w:tblCellMar>
        </w:tblPrEx>
        <w:trPr>
          <w:trHeight w:val="1935"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20" w:lineRule="exact"/>
              <w:jc w:val="center"/>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rPr>
              <w:t>1</w:t>
            </w:r>
            <w:r>
              <w:rPr>
                <w:rFonts w:hint="eastAsia" w:ascii="Times New Roman" w:hAnsi="Times New Roman" w:eastAsia="方正仿宋_GBK" w:cs="方正仿宋_GBK"/>
                <w:b w:val="0"/>
                <w:bCs w:val="0"/>
                <w:color w:val="auto"/>
                <w:kern w:val="0"/>
                <w:sz w:val="28"/>
                <w:szCs w:val="28"/>
                <w:highlight w:val="none"/>
                <w:lang w:val="en-US" w:eastAsia="zh-CN"/>
              </w:rPr>
              <w:t>6</w:t>
            </w:r>
          </w:p>
        </w:tc>
        <w:tc>
          <w:tcPr>
            <w:tcW w:w="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2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清洁</w:t>
            </w:r>
          </w:p>
          <w:p>
            <w:pPr>
              <w:keepNext w:val="0"/>
              <w:keepLines w:val="0"/>
              <w:pageBreakBefore w:val="0"/>
              <w:widowControl/>
              <w:kinsoku/>
              <w:wordWrap/>
              <w:overflowPunct/>
              <w:topLinePunct w:val="0"/>
              <w:autoSpaceDE/>
              <w:autoSpaceDN/>
              <w:bidi w:val="0"/>
              <w:adjustRightInd/>
              <w:snapToGrid w:val="0"/>
              <w:spacing w:line="42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6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20" w:lineRule="exact"/>
              <w:jc w:val="center"/>
              <w:textAlignment w:val="auto"/>
              <w:rPr>
                <w:rFonts w:hint="eastAsia" w:ascii="Times New Roman" w:hAnsi="Times New Roman" w:eastAsia="方正仿宋_GBK" w:cs="方正仿宋_GBK"/>
                <w:b w:val="0"/>
                <w:bCs w:val="0"/>
                <w:color w:val="auto"/>
                <w:kern w:val="0"/>
                <w:sz w:val="28"/>
                <w:szCs w:val="28"/>
                <w:highlight w:val="none"/>
                <w:lang w:eastAsia="zh-CN"/>
              </w:rPr>
            </w:pPr>
            <w:r>
              <w:rPr>
                <w:rFonts w:hint="eastAsia" w:ascii="Times New Roman" w:hAnsi="Times New Roman" w:eastAsia="方正仿宋_GBK" w:cs="方正仿宋_GBK"/>
                <w:b w:val="0"/>
                <w:bCs w:val="0"/>
                <w:color w:val="auto"/>
                <w:kern w:val="0"/>
                <w:sz w:val="28"/>
                <w:szCs w:val="28"/>
                <w:highlight w:val="none"/>
              </w:rPr>
              <w:t>沐浴</w:t>
            </w:r>
          </w:p>
        </w:tc>
        <w:tc>
          <w:tcPr>
            <w:tcW w:w="6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2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根据护理对象病情和自理能力选择适宜的沐浴方式，沐浴方式有淋浴、盆浴、坐浴等。</w:t>
            </w:r>
          </w:p>
        </w:tc>
        <w:tc>
          <w:tcPr>
            <w:tcW w:w="8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440" w:lineRule="exact"/>
              <w:jc w:val="left"/>
              <w:textAlignment w:val="auto"/>
              <w:rPr>
                <w:rFonts w:hint="default"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lang w:eastAsia="zh-CN"/>
              </w:rPr>
              <w:t>按市民政局《DB50T 1081—2021老年人流动助浴服务规范》有关要求执行</w:t>
            </w:r>
            <w:r>
              <w:rPr>
                <w:rFonts w:hint="eastAsia" w:ascii="Times New Roman" w:hAnsi="Times New Roman" w:eastAsia="方正仿宋_GBK" w:cs="方正仿宋_GBK"/>
                <w:b w:val="0"/>
                <w:bCs w:val="0"/>
                <w:color w:val="auto"/>
                <w:kern w:val="0"/>
                <w:sz w:val="28"/>
                <w:szCs w:val="28"/>
                <w:highlight w:val="none"/>
                <w:lang w:val="en-US" w:eastAsia="zh-CN"/>
              </w:rPr>
              <w:t>。</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根据护理对象身体状况，原则上冬季2次/月，夏季4次/月。</w:t>
            </w:r>
          </w:p>
        </w:tc>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根据护理对象身体状况，冬季2次/月，夏季4次/月。</w:t>
            </w:r>
          </w:p>
        </w:tc>
        <w:tc>
          <w:tcPr>
            <w:tcW w:w="6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根据护理对象身体状况，原则上冬季2次/月，夏季4次/月。</w:t>
            </w:r>
          </w:p>
        </w:tc>
        <w:tc>
          <w:tcPr>
            <w:tcW w:w="6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根据护理对象身体状况，冬季2次/月，夏季4次/月。</w:t>
            </w:r>
          </w:p>
        </w:tc>
      </w:tr>
      <w:tr>
        <w:tblPrEx>
          <w:tblCellMar>
            <w:top w:w="0" w:type="dxa"/>
            <w:left w:w="108" w:type="dxa"/>
            <w:bottom w:w="0" w:type="dxa"/>
            <w:right w:w="108" w:type="dxa"/>
          </w:tblCellMar>
        </w:tblPrEx>
        <w:trPr>
          <w:trHeight w:val="2753"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rPr>
              <w:t>1</w:t>
            </w:r>
            <w:r>
              <w:rPr>
                <w:rFonts w:hint="eastAsia" w:ascii="Times New Roman" w:hAnsi="Times New Roman" w:eastAsia="方正仿宋_GBK" w:cs="方正仿宋_GBK"/>
                <w:b w:val="0"/>
                <w:bCs w:val="0"/>
                <w:color w:val="auto"/>
                <w:kern w:val="0"/>
                <w:sz w:val="28"/>
                <w:szCs w:val="28"/>
                <w:highlight w:val="none"/>
                <w:lang w:val="en-US" w:eastAsia="zh-CN"/>
              </w:rPr>
              <w:t>7</w:t>
            </w:r>
          </w:p>
        </w:tc>
        <w:tc>
          <w:tcPr>
            <w:tcW w:w="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清洁</w:t>
            </w:r>
          </w:p>
          <w:p>
            <w:pPr>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62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口腔清洁</w:t>
            </w:r>
          </w:p>
        </w:tc>
        <w:tc>
          <w:tcPr>
            <w:tcW w:w="6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鼓励并协助有自理能力的护理对象采用漱口、自行刷牙的方法清洁口腔；对丧失自理能力的护理对象采用棉棒擦拭、棉球擦拭清洁口腔。</w:t>
            </w:r>
          </w:p>
        </w:tc>
        <w:tc>
          <w:tcPr>
            <w:tcW w:w="8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护理对象口腔清洁，无食物残留等；</w:t>
            </w:r>
          </w:p>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保证护理对象口腔安全，无暴力性损伤，发现异常，如口腔溃疡等，及时汇报。</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rPr>
              <w:t>可根据护理对象清洁习惯，</w:t>
            </w:r>
            <w:r>
              <w:rPr>
                <w:rFonts w:hint="eastAsia" w:ascii="Times New Roman" w:hAnsi="Times New Roman" w:eastAsia="方正仿宋_GBK" w:cs="方正仿宋_GBK"/>
                <w:b w:val="0"/>
                <w:bCs w:val="0"/>
                <w:color w:val="auto"/>
                <w:kern w:val="0"/>
                <w:sz w:val="28"/>
                <w:szCs w:val="28"/>
                <w:highlight w:val="none"/>
                <w:lang w:eastAsia="zh-CN"/>
              </w:rPr>
              <w:t>原则上每次上门提供服务不少于1次</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rPr>
              <w:t>可根据护理对象清洁习惯，原则2次/日。</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c>
          <w:tcPr>
            <w:tcW w:w="6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rPr>
              <w:t>可根据护理对象清洁习惯，</w:t>
            </w:r>
            <w:r>
              <w:rPr>
                <w:rFonts w:hint="eastAsia" w:ascii="Times New Roman" w:hAnsi="Times New Roman" w:eastAsia="方正仿宋_GBK" w:cs="方正仿宋_GBK"/>
                <w:b w:val="0"/>
                <w:bCs w:val="0"/>
                <w:color w:val="auto"/>
                <w:kern w:val="0"/>
                <w:sz w:val="28"/>
                <w:szCs w:val="28"/>
                <w:highlight w:val="none"/>
                <w:lang w:eastAsia="zh-CN"/>
              </w:rPr>
              <w:t>原则上每次上门提供服务不少于1次</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c>
          <w:tcPr>
            <w:tcW w:w="6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rPr>
              <w:t>可根据护理对象清洁习惯，原则2次/日。</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r>
      <w:tr>
        <w:tblPrEx>
          <w:tblCellMar>
            <w:top w:w="0" w:type="dxa"/>
            <w:left w:w="108" w:type="dxa"/>
            <w:bottom w:w="0" w:type="dxa"/>
            <w:right w:w="108" w:type="dxa"/>
          </w:tblCellMar>
        </w:tblPrEx>
        <w:trPr>
          <w:trHeight w:val="735"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hint="eastAsia" w:ascii="Times New Roman" w:hAnsi="Times New Roman" w:eastAsia="方正仿宋_GBK" w:cs="方正仿宋_GBK"/>
                <w:b w:val="0"/>
                <w:bCs w:val="0"/>
                <w:color w:val="auto"/>
                <w:kern w:val="0"/>
                <w:sz w:val="28"/>
                <w:szCs w:val="28"/>
                <w:highlight w:val="none"/>
                <w:lang w:eastAsia="zh-CN"/>
              </w:rPr>
            </w:pPr>
            <w:r>
              <w:rPr>
                <w:rFonts w:hint="eastAsia" w:ascii="Times New Roman" w:hAnsi="Times New Roman" w:eastAsia="方正仿宋_GBK" w:cs="方正仿宋_GBK"/>
                <w:b w:val="0"/>
                <w:bCs w:val="0"/>
                <w:color w:val="auto"/>
                <w:kern w:val="0"/>
                <w:sz w:val="28"/>
                <w:szCs w:val="28"/>
                <w:highlight w:val="none"/>
              </w:rPr>
              <w:t>1</w:t>
            </w:r>
            <w:r>
              <w:rPr>
                <w:rFonts w:hint="eastAsia" w:ascii="Times New Roman" w:hAnsi="Times New Roman" w:eastAsia="方正仿宋_GBK" w:cs="方正仿宋_GBK"/>
                <w:b w:val="0"/>
                <w:bCs w:val="0"/>
                <w:color w:val="auto"/>
                <w:kern w:val="0"/>
                <w:sz w:val="28"/>
                <w:szCs w:val="28"/>
                <w:highlight w:val="none"/>
                <w:lang w:val="en-US" w:eastAsia="zh-CN"/>
              </w:rPr>
              <w:t>8</w:t>
            </w:r>
          </w:p>
        </w:tc>
        <w:tc>
          <w:tcPr>
            <w:tcW w:w="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清洁</w:t>
            </w:r>
          </w:p>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62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会阴清洁</w:t>
            </w:r>
          </w:p>
        </w:tc>
        <w:tc>
          <w:tcPr>
            <w:tcW w:w="6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根据会阴部有无伤口、有无大小便失禁和留置尿管等，帮助护理对象完成会阴部的擦洗或冲洗，水温适宜、动作轻柔、保护隐私。</w:t>
            </w:r>
          </w:p>
        </w:tc>
        <w:tc>
          <w:tcPr>
            <w:tcW w:w="8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护理服务安全防范措施完备，注意护理对象隐私保护和健康保护；</w:t>
            </w:r>
          </w:p>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护理对象会阴干净、清洁。</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rPr>
              <w:t>可根据护理对象清洁习惯，</w:t>
            </w:r>
            <w:r>
              <w:rPr>
                <w:rFonts w:hint="eastAsia" w:ascii="Times New Roman" w:hAnsi="Times New Roman" w:eastAsia="方正仿宋_GBK" w:cs="方正仿宋_GBK"/>
                <w:b w:val="0"/>
                <w:bCs w:val="0"/>
                <w:color w:val="auto"/>
                <w:kern w:val="0"/>
                <w:sz w:val="28"/>
                <w:szCs w:val="28"/>
                <w:highlight w:val="none"/>
                <w:lang w:eastAsia="zh-CN"/>
              </w:rPr>
              <w:t>原则上每次上门提供服务不少于1次</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rPr>
              <w:t>1次/日。</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c>
          <w:tcPr>
            <w:tcW w:w="6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rPr>
              <w:t>可根据护理对象清洁习惯，</w:t>
            </w:r>
            <w:r>
              <w:rPr>
                <w:rFonts w:hint="eastAsia" w:ascii="Times New Roman" w:hAnsi="Times New Roman" w:eastAsia="方正仿宋_GBK" w:cs="方正仿宋_GBK"/>
                <w:b w:val="0"/>
                <w:bCs w:val="0"/>
                <w:color w:val="auto"/>
                <w:kern w:val="0"/>
                <w:sz w:val="28"/>
                <w:szCs w:val="28"/>
                <w:highlight w:val="none"/>
                <w:lang w:eastAsia="zh-CN"/>
              </w:rPr>
              <w:t>原则上每次上门提供服务不少于1次</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c>
          <w:tcPr>
            <w:tcW w:w="6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2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rPr>
              <w:t>1次/日。</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r>
      <w:tr>
        <w:tblPrEx>
          <w:tblCellMar>
            <w:top w:w="0" w:type="dxa"/>
            <w:left w:w="108" w:type="dxa"/>
            <w:bottom w:w="0" w:type="dxa"/>
            <w:right w:w="108" w:type="dxa"/>
          </w:tblCellMar>
        </w:tblPrEx>
        <w:trPr>
          <w:trHeight w:val="482"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lang w:val="en-US" w:eastAsia="zh-CN"/>
              </w:rPr>
              <w:t>19</w:t>
            </w:r>
          </w:p>
        </w:tc>
        <w:tc>
          <w:tcPr>
            <w:tcW w:w="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清洁</w:t>
            </w:r>
          </w:p>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62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整理床</w:t>
            </w:r>
          </w:p>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单位</w:t>
            </w:r>
          </w:p>
        </w:tc>
        <w:tc>
          <w:tcPr>
            <w:tcW w:w="6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采用适宜的方法整理床单位。</w:t>
            </w:r>
          </w:p>
        </w:tc>
        <w:tc>
          <w:tcPr>
            <w:tcW w:w="8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护理对象床上用品叠放整齐；</w:t>
            </w:r>
          </w:p>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护理对象日常用品及用具放置规整；</w:t>
            </w:r>
          </w:p>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3</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护理对象床单位清洁、干燥、无渣屑。</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原则上每次上门提供服务不少于1次</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p>
        </w:tc>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lang w:val="en-US" w:eastAsia="zh-CN"/>
              </w:rPr>
              <w:t>1</w:t>
            </w:r>
            <w:r>
              <w:rPr>
                <w:rFonts w:hint="eastAsia" w:ascii="Times New Roman" w:hAnsi="Times New Roman" w:eastAsia="方正仿宋_GBK" w:cs="方正仿宋_GBK"/>
                <w:b w:val="0"/>
                <w:bCs w:val="0"/>
                <w:color w:val="auto"/>
                <w:kern w:val="0"/>
                <w:sz w:val="28"/>
                <w:szCs w:val="28"/>
                <w:highlight w:val="none"/>
              </w:rPr>
              <w:t>次/日。</w:t>
            </w:r>
          </w:p>
        </w:tc>
        <w:tc>
          <w:tcPr>
            <w:tcW w:w="6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原则上每次上门提供服务不少于1次</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c>
          <w:tcPr>
            <w:tcW w:w="6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lang w:val="en-US" w:eastAsia="zh-CN"/>
              </w:rPr>
              <w:t>1</w:t>
            </w:r>
            <w:r>
              <w:rPr>
                <w:rFonts w:hint="eastAsia" w:ascii="Times New Roman" w:hAnsi="Times New Roman" w:eastAsia="方正仿宋_GBK" w:cs="方正仿宋_GBK"/>
                <w:b w:val="0"/>
                <w:bCs w:val="0"/>
                <w:color w:val="auto"/>
                <w:kern w:val="0"/>
                <w:sz w:val="28"/>
                <w:szCs w:val="28"/>
                <w:highlight w:val="none"/>
              </w:rPr>
              <w:t>次/日。</w:t>
            </w:r>
            <w:r>
              <w:rPr>
                <w:rFonts w:hint="eastAsia" w:ascii="Times New Roman" w:hAnsi="Times New Roman" w:eastAsia="方正仿宋_GBK" w:cs="方正仿宋_GBK"/>
                <w:b w:val="0"/>
                <w:bCs w:val="0"/>
                <w:color w:val="auto"/>
                <w:kern w:val="0"/>
                <w:sz w:val="28"/>
                <w:szCs w:val="28"/>
                <w:highlight w:val="none"/>
                <w:lang w:eastAsia="zh-CN"/>
              </w:rPr>
              <w:t>（重度失能人员必选）</w:t>
            </w:r>
          </w:p>
        </w:tc>
      </w:tr>
      <w:tr>
        <w:tblPrEx>
          <w:tblCellMar>
            <w:top w:w="0" w:type="dxa"/>
            <w:left w:w="108" w:type="dxa"/>
            <w:bottom w:w="0" w:type="dxa"/>
            <w:right w:w="108" w:type="dxa"/>
          </w:tblCellMar>
        </w:tblPrEx>
        <w:trPr>
          <w:trHeight w:val="4874"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lang w:val="en-US" w:eastAsia="zh-CN"/>
              </w:rPr>
              <w:t>20</w:t>
            </w:r>
          </w:p>
        </w:tc>
        <w:tc>
          <w:tcPr>
            <w:tcW w:w="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清洁</w:t>
            </w:r>
          </w:p>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6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留置尿管</w:t>
            </w:r>
          </w:p>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护理</w:t>
            </w:r>
          </w:p>
        </w:tc>
        <w:tc>
          <w:tcPr>
            <w:tcW w:w="6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snapToGrid w:val="0"/>
                <w:color w:val="auto"/>
                <w:kern w:val="0"/>
                <w:sz w:val="28"/>
                <w:szCs w:val="28"/>
                <w:highlight w:val="none"/>
              </w:rPr>
              <w:t>遵医嘱对留置尿管的对象做好相关护理。</w:t>
            </w:r>
          </w:p>
        </w:tc>
        <w:tc>
          <w:tcPr>
            <w:tcW w:w="8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能有效提高护理对象生活质量；</w:t>
            </w:r>
          </w:p>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护理对象未出现因护理不当造成尿路感染、漏尿等；</w:t>
            </w:r>
          </w:p>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3</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护理对象没有因护理不当造成尿路损伤；</w:t>
            </w:r>
          </w:p>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4</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管道固定合适，管道护理符合护理要求。</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原则上每次上门提供服务不少于1次</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根据护理对象需要，必要时。</w:t>
            </w:r>
          </w:p>
        </w:tc>
        <w:tc>
          <w:tcPr>
            <w:tcW w:w="6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原则上每次上门提供服务不少于1次</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6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根据护理对象需要，必要时。</w:t>
            </w:r>
          </w:p>
        </w:tc>
      </w:tr>
      <w:tr>
        <w:tblPrEx>
          <w:tblCellMar>
            <w:top w:w="0" w:type="dxa"/>
            <w:left w:w="108" w:type="dxa"/>
            <w:bottom w:w="0" w:type="dxa"/>
            <w:right w:w="108" w:type="dxa"/>
          </w:tblCellMar>
        </w:tblPrEx>
        <w:trPr>
          <w:trHeight w:val="90"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Times New Roman" w:hAnsi="Times New Roman" w:eastAsia="方正仿宋_GBK" w:cs="方正仿宋_GBK"/>
                <w:b w:val="0"/>
                <w:bCs w:val="0"/>
                <w:color w:val="auto"/>
                <w:kern w:val="0"/>
                <w:sz w:val="28"/>
                <w:szCs w:val="28"/>
                <w:highlight w:val="none"/>
                <w:lang w:eastAsia="zh-CN"/>
              </w:rPr>
            </w:pPr>
            <w:r>
              <w:rPr>
                <w:rFonts w:hint="eastAsia" w:ascii="Times New Roman" w:hAnsi="Times New Roman" w:eastAsia="方正仿宋_GBK" w:cs="方正仿宋_GBK"/>
                <w:b w:val="0"/>
                <w:bCs w:val="0"/>
                <w:color w:val="auto"/>
                <w:kern w:val="0"/>
                <w:sz w:val="28"/>
                <w:szCs w:val="28"/>
                <w:highlight w:val="none"/>
              </w:rPr>
              <w:t>2</w:t>
            </w:r>
            <w:r>
              <w:rPr>
                <w:rFonts w:hint="eastAsia" w:ascii="Times New Roman" w:hAnsi="Times New Roman" w:eastAsia="方正仿宋_GBK" w:cs="方正仿宋_GBK"/>
                <w:b w:val="0"/>
                <w:bCs w:val="0"/>
                <w:color w:val="auto"/>
                <w:kern w:val="0"/>
                <w:sz w:val="28"/>
                <w:szCs w:val="28"/>
                <w:highlight w:val="none"/>
                <w:lang w:val="en-US" w:eastAsia="zh-CN"/>
              </w:rPr>
              <w:t>1</w:t>
            </w:r>
          </w:p>
        </w:tc>
        <w:tc>
          <w:tcPr>
            <w:tcW w:w="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清洁</w:t>
            </w:r>
          </w:p>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6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人工肛门便袋护理</w:t>
            </w:r>
          </w:p>
        </w:tc>
        <w:tc>
          <w:tcPr>
            <w:tcW w:w="6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snapToGrid w:val="0"/>
                <w:color w:val="auto"/>
                <w:kern w:val="0"/>
                <w:sz w:val="28"/>
                <w:szCs w:val="28"/>
                <w:highlight w:val="none"/>
              </w:rPr>
              <w:t>遵医嘱对</w:t>
            </w:r>
            <w:r>
              <w:rPr>
                <w:rFonts w:hint="eastAsia" w:ascii="Times New Roman" w:hAnsi="Times New Roman" w:eastAsia="方正仿宋_GBK" w:cs="方正仿宋_GBK"/>
                <w:b w:val="0"/>
                <w:bCs w:val="0"/>
                <w:color w:val="auto"/>
                <w:kern w:val="0"/>
                <w:sz w:val="28"/>
                <w:szCs w:val="28"/>
                <w:highlight w:val="none"/>
              </w:rPr>
              <w:t>人工肛门便袋护理</w:t>
            </w:r>
            <w:r>
              <w:rPr>
                <w:rFonts w:hint="eastAsia" w:ascii="Times New Roman" w:hAnsi="Times New Roman" w:eastAsia="方正仿宋_GBK" w:cs="方正仿宋_GBK"/>
                <w:b w:val="0"/>
                <w:bCs w:val="0"/>
                <w:snapToGrid w:val="0"/>
                <w:color w:val="auto"/>
                <w:kern w:val="0"/>
                <w:sz w:val="28"/>
                <w:szCs w:val="28"/>
                <w:highlight w:val="none"/>
              </w:rPr>
              <w:t>对象做好相关护理。</w:t>
            </w:r>
          </w:p>
        </w:tc>
        <w:tc>
          <w:tcPr>
            <w:tcW w:w="8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能有效提高护理对象生活质量；</w:t>
            </w:r>
          </w:p>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护理对象未出现因护理原因造成造口感染等；</w:t>
            </w:r>
          </w:p>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ascii="Times New Roman" w:hAnsi="Times New Roman" w:eastAsia="方正仿宋_GBK" w:cs="方正仿宋_GBK"/>
                <w:b w:val="0"/>
                <w:bCs w:val="0"/>
                <w:snapToGrid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3</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护理对象没有因护理不当造成造口损伤。</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原则上每次上门提供服务不少于1次</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根据护理对象需要，必要时。</w:t>
            </w:r>
          </w:p>
        </w:tc>
        <w:tc>
          <w:tcPr>
            <w:tcW w:w="6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原则上每次上门提供服务不少于1次</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6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根据护理对象需要，必要时。</w:t>
            </w:r>
          </w:p>
        </w:tc>
      </w:tr>
      <w:tr>
        <w:tblPrEx>
          <w:tblCellMar>
            <w:top w:w="0" w:type="dxa"/>
            <w:left w:w="108" w:type="dxa"/>
            <w:bottom w:w="0" w:type="dxa"/>
            <w:right w:w="108" w:type="dxa"/>
          </w:tblCellMar>
        </w:tblPrEx>
        <w:trPr>
          <w:trHeight w:val="1242"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rPr>
              <w:t>2</w:t>
            </w:r>
            <w:r>
              <w:rPr>
                <w:rFonts w:hint="eastAsia" w:ascii="Times New Roman" w:hAnsi="Times New Roman" w:eastAsia="方正仿宋_GBK" w:cs="方正仿宋_GBK"/>
                <w:b w:val="0"/>
                <w:bCs w:val="0"/>
                <w:color w:val="auto"/>
                <w:kern w:val="0"/>
                <w:sz w:val="28"/>
                <w:szCs w:val="28"/>
                <w:highlight w:val="none"/>
                <w:lang w:val="en-US" w:eastAsia="zh-CN"/>
              </w:rPr>
              <w:t>2</w:t>
            </w:r>
          </w:p>
        </w:tc>
        <w:tc>
          <w:tcPr>
            <w:tcW w:w="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imes New Roman" w:hAnsi="Times New Roman" w:eastAsia="方正仿宋_GBK" w:cs="方正仿宋_GBK"/>
                <w:b w:val="0"/>
                <w:bCs w:val="0"/>
                <w:color w:val="auto"/>
                <w:kern w:val="0"/>
                <w:sz w:val="28"/>
                <w:szCs w:val="28"/>
                <w:highlight w:val="none"/>
                <w:lang w:eastAsia="zh-CN"/>
              </w:rPr>
            </w:pPr>
            <w:r>
              <w:rPr>
                <w:rFonts w:hint="eastAsia" w:ascii="Times New Roman" w:hAnsi="Times New Roman" w:eastAsia="方正仿宋_GBK" w:cs="方正仿宋_GBK"/>
                <w:b w:val="0"/>
                <w:bCs w:val="0"/>
                <w:color w:val="auto"/>
                <w:kern w:val="0"/>
                <w:sz w:val="28"/>
                <w:szCs w:val="28"/>
                <w:highlight w:val="none"/>
                <w:lang w:eastAsia="zh-CN"/>
              </w:rPr>
              <w:t>康复</w:t>
            </w:r>
          </w:p>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6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lang w:val="en-US" w:eastAsia="zh-CN"/>
              </w:rPr>
              <w:t>认知训练</w:t>
            </w:r>
          </w:p>
        </w:tc>
        <w:tc>
          <w:tcPr>
            <w:tcW w:w="6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lang w:val="en-US" w:eastAsia="zh-CN"/>
              </w:rPr>
              <w:t>为患有轻、中度认知障碍的护理对象进行计算力、思维能力、定向力、记忆力等训练。如训练记写自己名字和生日、认识数字、认识及分辨白天黑夜和天气等。</w:t>
            </w:r>
          </w:p>
        </w:tc>
        <w:tc>
          <w:tcPr>
            <w:tcW w:w="8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lang w:val="en-US" w:eastAsia="zh-CN"/>
              </w:rPr>
              <w:t>通过认知训练，对护理对象的计算、思维、定向、记忆、感知力等能力进行培养和锻炼。</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val="en-US" w:eastAsia="zh-CN"/>
              </w:rPr>
              <w:t>根据护理对象需要，不少于4次/月；</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val="en-US" w:eastAsia="zh-CN"/>
              </w:rPr>
              <w:t>根据护理对象需要，每天不少于1次。</w:t>
            </w:r>
          </w:p>
        </w:tc>
        <w:tc>
          <w:tcPr>
            <w:tcW w:w="6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val="en-US" w:eastAsia="zh-CN"/>
              </w:rPr>
              <w:t>根据护理对象需要，不少于4次/月；</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6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val="en-US" w:eastAsia="zh-CN"/>
              </w:rPr>
              <w:t>根据护理对象需要，每天不少于1次。</w:t>
            </w:r>
          </w:p>
        </w:tc>
      </w:tr>
      <w:tr>
        <w:tblPrEx>
          <w:tblCellMar>
            <w:top w:w="0" w:type="dxa"/>
            <w:left w:w="108" w:type="dxa"/>
            <w:bottom w:w="0" w:type="dxa"/>
            <w:right w:w="108" w:type="dxa"/>
          </w:tblCellMar>
        </w:tblPrEx>
        <w:trPr>
          <w:trHeight w:val="469"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rPr>
              <w:t>2</w:t>
            </w:r>
            <w:r>
              <w:rPr>
                <w:rFonts w:hint="eastAsia" w:ascii="Times New Roman" w:hAnsi="Times New Roman" w:eastAsia="方正仿宋_GBK" w:cs="方正仿宋_GBK"/>
                <w:b w:val="0"/>
                <w:bCs w:val="0"/>
                <w:color w:val="auto"/>
                <w:kern w:val="0"/>
                <w:sz w:val="28"/>
                <w:szCs w:val="28"/>
                <w:highlight w:val="none"/>
                <w:lang w:val="en-US" w:eastAsia="zh-CN"/>
              </w:rPr>
              <w:t>3</w:t>
            </w:r>
          </w:p>
        </w:tc>
        <w:tc>
          <w:tcPr>
            <w:tcW w:w="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imes New Roman" w:hAnsi="Times New Roman" w:eastAsia="方正仿宋_GBK" w:cs="方正仿宋_GBK"/>
                <w:b w:val="0"/>
                <w:bCs w:val="0"/>
                <w:color w:val="auto"/>
                <w:kern w:val="0"/>
                <w:sz w:val="28"/>
                <w:szCs w:val="28"/>
                <w:highlight w:val="none"/>
                <w:lang w:eastAsia="zh-CN"/>
              </w:rPr>
            </w:pPr>
            <w:r>
              <w:rPr>
                <w:rFonts w:hint="eastAsia" w:ascii="Times New Roman" w:hAnsi="Times New Roman" w:eastAsia="方正仿宋_GBK" w:cs="方正仿宋_GBK"/>
                <w:b w:val="0"/>
                <w:bCs w:val="0"/>
                <w:color w:val="auto"/>
                <w:kern w:val="0"/>
                <w:sz w:val="28"/>
                <w:szCs w:val="28"/>
                <w:highlight w:val="none"/>
                <w:lang w:eastAsia="zh-CN"/>
              </w:rPr>
              <w:t>康复</w:t>
            </w:r>
          </w:p>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6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lang w:val="en-US" w:eastAsia="zh-CN"/>
              </w:rPr>
              <w:t>生活式</w:t>
            </w:r>
          </w:p>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lang w:val="en-US" w:eastAsia="zh-CN"/>
              </w:rPr>
              <w:t>康复</w:t>
            </w:r>
          </w:p>
        </w:tc>
        <w:tc>
          <w:tcPr>
            <w:tcW w:w="6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lang w:val="en-US" w:eastAsia="zh-CN"/>
              </w:rPr>
              <w:t>以指导动作或陪伴练习的形式为中度以上失能护理对象进行在日常生活中的生活场景训练。如训练自行穿脱衣、进食、洗漱、如厕等。</w:t>
            </w:r>
          </w:p>
        </w:tc>
        <w:tc>
          <w:tcPr>
            <w:tcW w:w="8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lang w:val="en-US" w:eastAsia="zh-CN"/>
              </w:rPr>
              <w:t>1</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lang w:val="en-US" w:eastAsia="zh-CN"/>
              </w:rPr>
              <w:t>通过生活式康复训练，重建护理对象生活的信心，减轻照护者压力；2</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lang w:val="en-US" w:eastAsia="zh-CN"/>
              </w:rPr>
              <w:t>护理对象能逐渐完成部分生活场景中的日常生活活动，如自行穿脱衣、进食、洗漱、如厕等。</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val="en-US" w:eastAsia="zh-CN"/>
              </w:rPr>
              <w:t>根据护理对象需要，不少于4次/月；</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val="en-US" w:eastAsia="zh-CN"/>
              </w:rPr>
              <w:t>根据护理对象需要，每天不少于2次。</w:t>
            </w:r>
          </w:p>
        </w:tc>
        <w:tc>
          <w:tcPr>
            <w:tcW w:w="6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val="en-US" w:eastAsia="zh-CN"/>
              </w:rPr>
              <w:t>根据护理对象需要，不少于4次/月；</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6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val="en-US" w:eastAsia="zh-CN"/>
              </w:rPr>
              <w:t>根据护理对象需要，每天不少于2次。</w:t>
            </w:r>
          </w:p>
        </w:tc>
      </w:tr>
      <w:tr>
        <w:tblPrEx>
          <w:tblCellMar>
            <w:top w:w="0" w:type="dxa"/>
            <w:left w:w="108" w:type="dxa"/>
            <w:bottom w:w="0" w:type="dxa"/>
            <w:right w:w="108" w:type="dxa"/>
          </w:tblCellMar>
        </w:tblPrEx>
        <w:trPr>
          <w:trHeight w:val="1289"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Times New Roman" w:hAnsi="Times New Roman" w:eastAsia="方正仿宋_GBK" w:cs="方正仿宋_GBK"/>
                <w:b w:val="0"/>
                <w:bCs w:val="0"/>
                <w:color w:val="auto"/>
                <w:kern w:val="0"/>
                <w:sz w:val="28"/>
                <w:szCs w:val="28"/>
                <w:highlight w:val="none"/>
                <w:lang w:eastAsia="zh-CN"/>
              </w:rPr>
            </w:pPr>
            <w:r>
              <w:rPr>
                <w:rFonts w:hint="eastAsia" w:ascii="Times New Roman" w:hAnsi="Times New Roman" w:eastAsia="方正仿宋_GBK" w:cs="方正仿宋_GBK"/>
                <w:b w:val="0"/>
                <w:bCs w:val="0"/>
                <w:color w:val="auto"/>
                <w:kern w:val="0"/>
                <w:sz w:val="28"/>
                <w:szCs w:val="28"/>
                <w:highlight w:val="none"/>
              </w:rPr>
              <w:t>2</w:t>
            </w:r>
            <w:r>
              <w:rPr>
                <w:rFonts w:hint="eastAsia" w:ascii="Times New Roman" w:hAnsi="Times New Roman" w:eastAsia="方正仿宋_GBK" w:cs="方正仿宋_GBK"/>
                <w:b w:val="0"/>
                <w:bCs w:val="0"/>
                <w:color w:val="auto"/>
                <w:kern w:val="0"/>
                <w:sz w:val="28"/>
                <w:szCs w:val="28"/>
                <w:highlight w:val="none"/>
                <w:lang w:val="en-US" w:eastAsia="zh-CN"/>
              </w:rPr>
              <w:t>4</w:t>
            </w:r>
          </w:p>
        </w:tc>
        <w:tc>
          <w:tcPr>
            <w:tcW w:w="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其他</w:t>
            </w:r>
          </w:p>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62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协助更衣</w:t>
            </w:r>
          </w:p>
        </w:tc>
        <w:tc>
          <w:tcPr>
            <w:tcW w:w="6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选择适合的更衣方法为护理对象穿脱或更换衣物。</w:t>
            </w:r>
          </w:p>
        </w:tc>
        <w:tc>
          <w:tcPr>
            <w:tcW w:w="8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护理服务安全防范措施完备，注意护理对象隐私保护和健康保护；</w:t>
            </w:r>
          </w:p>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护理对象穿戴规整；</w:t>
            </w:r>
          </w:p>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3</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根据季节选择合适衣物。</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原则上每次上门提供服务不少于1次</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根据对象需要，不低于2次/日。</w:t>
            </w:r>
          </w:p>
        </w:tc>
        <w:tc>
          <w:tcPr>
            <w:tcW w:w="6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根据护理对象需要，</w:t>
            </w:r>
            <w:r>
              <w:rPr>
                <w:rFonts w:hint="eastAsia" w:ascii="Times New Roman" w:hAnsi="Times New Roman" w:eastAsia="方正仿宋_GBK" w:cs="方正仿宋_GBK"/>
                <w:b w:val="0"/>
                <w:bCs w:val="0"/>
                <w:color w:val="auto"/>
                <w:kern w:val="0"/>
                <w:sz w:val="28"/>
                <w:szCs w:val="28"/>
                <w:highlight w:val="none"/>
                <w:lang w:eastAsia="zh-CN"/>
              </w:rPr>
              <w:t>原则上每次上门提供服务不少于1次</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重度失能人员必选项</w:t>
            </w:r>
            <w:r>
              <w:rPr>
                <w:rFonts w:hint="eastAsia" w:ascii="Times New Roman" w:hAnsi="Times New Roman" w:eastAsia="方正仿宋_GBK" w:cs="方正仿宋_GBK"/>
                <w:b w:val="0"/>
                <w:bCs w:val="0"/>
                <w:color w:val="auto"/>
                <w:kern w:val="0"/>
                <w:sz w:val="28"/>
                <w:szCs w:val="28"/>
                <w:highlight w:val="none"/>
                <w:lang w:val="en-US" w:eastAsia="zh-CN"/>
              </w:rPr>
              <w:t>）</w:t>
            </w:r>
          </w:p>
        </w:tc>
        <w:tc>
          <w:tcPr>
            <w:tcW w:w="6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根据对象需要，不低于2次/日。</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重度失能人员必选项</w:t>
            </w:r>
            <w:r>
              <w:rPr>
                <w:rFonts w:hint="eastAsia" w:ascii="Times New Roman" w:hAnsi="Times New Roman" w:eastAsia="方正仿宋_GBK" w:cs="方正仿宋_GBK"/>
                <w:b w:val="0"/>
                <w:bCs w:val="0"/>
                <w:color w:val="auto"/>
                <w:kern w:val="0"/>
                <w:sz w:val="28"/>
                <w:szCs w:val="28"/>
                <w:highlight w:val="none"/>
                <w:lang w:val="en-US" w:eastAsia="zh-CN"/>
              </w:rPr>
              <w:t>）</w:t>
            </w:r>
          </w:p>
        </w:tc>
      </w:tr>
      <w:tr>
        <w:tblPrEx>
          <w:tblCellMar>
            <w:top w:w="0" w:type="dxa"/>
            <w:left w:w="108" w:type="dxa"/>
            <w:bottom w:w="0" w:type="dxa"/>
            <w:right w:w="108" w:type="dxa"/>
          </w:tblCellMar>
        </w:tblPrEx>
        <w:trPr>
          <w:trHeight w:val="2960"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Times New Roman" w:hAnsi="Times New Roman" w:eastAsia="方正仿宋_GBK" w:cs="方正仿宋_GBK"/>
                <w:b w:val="0"/>
                <w:bCs w:val="0"/>
                <w:color w:val="auto"/>
                <w:kern w:val="0"/>
                <w:sz w:val="28"/>
                <w:szCs w:val="28"/>
                <w:highlight w:val="none"/>
                <w:lang w:eastAsia="zh-CN"/>
              </w:rPr>
            </w:pPr>
            <w:r>
              <w:rPr>
                <w:rFonts w:hint="eastAsia" w:ascii="Times New Roman" w:hAnsi="Times New Roman" w:eastAsia="方正仿宋_GBK" w:cs="方正仿宋_GBK"/>
                <w:b w:val="0"/>
                <w:bCs w:val="0"/>
                <w:color w:val="auto"/>
                <w:kern w:val="0"/>
                <w:sz w:val="28"/>
                <w:szCs w:val="28"/>
                <w:highlight w:val="none"/>
              </w:rPr>
              <w:t>2</w:t>
            </w:r>
            <w:r>
              <w:rPr>
                <w:rFonts w:hint="eastAsia" w:ascii="Times New Roman" w:hAnsi="Times New Roman" w:eastAsia="方正仿宋_GBK" w:cs="方正仿宋_GBK"/>
                <w:b w:val="0"/>
                <w:bCs w:val="0"/>
                <w:color w:val="auto"/>
                <w:kern w:val="0"/>
                <w:sz w:val="28"/>
                <w:szCs w:val="28"/>
                <w:highlight w:val="none"/>
                <w:lang w:val="en-US" w:eastAsia="zh-CN"/>
              </w:rPr>
              <w:t>5</w:t>
            </w:r>
          </w:p>
        </w:tc>
        <w:tc>
          <w:tcPr>
            <w:tcW w:w="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其他</w:t>
            </w:r>
          </w:p>
          <w:p>
            <w:pPr>
              <w:keepNext w:val="0"/>
              <w:keepLines w:val="0"/>
              <w:pageBreakBefore w:val="0"/>
              <w:widowControl/>
              <w:kinsoku/>
              <w:wordWrap/>
              <w:overflowPunct/>
              <w:topLinePunct w:val="0"/>
              <w:autoSpaceDE/>
              <w:autoSpaceDN/>
              <w:bidi w:val="0"/>
              <w:adjustRightInd/>
              <w:spacing w:line="4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623"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协助用药</w:t>
            </w:r>
          </w:p>
        </w:tc>
        <w:tc>
          <w:tcPr>
            <w:tcW w:w="6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协助完成用药。</w:t>
            </w:r>
          </w:p>
        </w:tc>
        <w:tc>
          <w:tcPr>
            <w:tcW w:w="8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1</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按规范</w:t>
            </w:r>
            <w:r>
              <w:rPr>
                <w:rFonts w:hint="eastAsia" w:ascii="Times New Roman" w:hAnsi="Times New Roman" w:eastAsia="方正仿宋_GBK" w:cs="方正仿宋_GBK"/>
                <w:b w:val="0"/>
                <w:bCs w:val="0"/>
                <w:color w:val="auto"/>
                <w:kern w:val="0"/>
                <w:sz w:val="28"/>
                <w:szCs w:val="28"/>
                <w:highlight w:val="none"/>
                <w:lang w:eastAsia="zh-CN"/>
              </w:rPr>
              <w:t>协助</w:t>
            </w:r>
            <w:r>
              <w:rPr>
                <w:rFonts w:hint="eastAsia" w:ascii="Times New Roman" w:hAnsi="Times New Roman" w:eastAsia="方正仿宋_GBK" w:cs="方正仿宋_GBK"/>
                <w:b w:val="0"/>
                <w:bCs w:val="0"/>
                <w:color w:val="auto"/>
                <w:kern w:val="0"/>
                <w:sz w:val="28"/>
                <w:szCs w:val="28"/>
                <w:highlight w:val="none"/>
              </w:rPr>
              <w:t>进行用药保管、分发；</w:t>
            </w:r>
          </w:p>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2</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color w:val="auto"/>
                <w:kern w:val="0"/>
                <w:sz w:val="28"/>
                <w:szCs w:val="28"/>
                <w:highlight w:val="none"/>
              </w:rPr>
              <w:t>遵医嘱用药准时，无错、漏、延现象。</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遵医嘱，根据护理对象需要，</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遵医嘱。</w:t>
            </w:r>
          </w:p>
        </w:tc>
        <w:tc>
          <w:tcPr>
            <w:tcW w:w="6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遵医嘱，根据护理对象需要，</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6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遵医嘱。</w:t>
            </w:r>
          </w:p>
        </w:tc>
      </w:tr>
      <w:tr>
        <w:tblPrEx>
          <w:tblCellMar>
            <w:top w:w="0" w:type="dxa"/>
            <w:left w:w="108" w:type="dxa"/>
            <w:bottom w:w="0" w:type="dxa"/>
            <w:right w:w="108" w:type="dxa"/>
          </w:tblCellMar>
        </w:tblPrEx>
        <w:trPr>
          <w:trHeight w:val="4115"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hint="eastAsia" w:ascii="Times New Roman" w:hAnsi="Times New Roman" w:eastAsia="方正仿宋_GBK" w:cs="方正仿宋_GBK"/>
                <w:b w:val="0"/>
                <w:bCs w:val="0"/>
                <w:color w:val="auto"/>
                <w:kern w:val="0"/>
                <w:sz w:val="28"/>
                <w:szCs w:val="28"/>
                <w:highlight w:val="none"/>
                <w:lang w:eastAsia="zh-CN"/>
              </w:rPr>
            </w:pPr>
            <w:r>
              <w:rPr>
                <w:rFonts w:hint="eastAsia" w:ascii="Times New Roman" w:hAnsi="Times New Roman" w:eastAsia="方正仿宋_GBK" w:cs="方正仿宋_GBK"/>
                <w:b w:val="0"/>
                <w:bCs w:val="0"/>
                <w:color w:val="auto"/>
                <w:kern w:val="0"/>
                <w:sz w:val="28"/>
                <w:szCs w:val="28"/>
                <w:highlight w:val="none"/>
              </w:rPr>
              <w:t>2</w:t>
            </w:r>
            <w:r>
              <w:rPr>
                <w:rFonts w:hint="eastAsia" w:ascii="Times New Roman" w:hAnsi="Times New Roman" w:eastAsia="方正仿宋_GBK" w:cs="方正仿宋_GBK"/>
                <w:b w:val="0"/>
                <w:bCs w:val="0"/>
                <w:color w:val="auto"/>
                <w:kern w:val="0"/>
                <w:sz w:val="28"/>
                <w:szCs w:val="28"/>
                <w:highlight w:val="none"/>
                <w:lang w:val="en-US" w:eastAsia="zh-CN"/>
              </w:rPr>
              <w:t>6</w:t>
            </w:r>
          </w:p>
        </w:tc>
        <w:tc>
          <w:tcPr>
            <w:tcW w:w="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其他</w:t>
            </w:r>
          </w:p>
          <w:p>
            <w:pPr>
              <w:keepNext w:val="0"/>
              <w:keepLines w:val="0"/>
              <w:pageBreakBefore w:val="0"/>
              <w:widowControl/>
              <w:kinsoku/>
              <w:wordWrap/>
              <w:overflowPunct/>
              <w:topLinePunct w:val="0"/>
              <w:autoSpaceDE/>
              <w:autoSpaceDN/>
              <w:bidi w:val="0"/>
              <w:adjustRightInd/>
              <w:spacing w:line="4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6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精神慰藉</w:t>
            </w:r>
          </w:p>
        </w:tc>
        <w:tc>
          <w:tcPr>
            <w:tcW w:w="6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根据护理对象精神状况，结合病情及精神需求，给予相应疾病的健康指导，并对其进行心理疏导和精神慰藉。</w:t>
            </w:r>
          </w:p>
        </w:tc>
        <w:tc>
          <w:tcPr>
            <w:tcW w:w="8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对护理对象进行亲情抚慰和心理疏导，引导护理对象保持积极向上的生活状态和愉悦的心情，与护理对象沟通有耐心、疏导有效果。</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rPr>
              <w:t>4次/月</w:t>
            </w:r>
            <w:r>
              <w:rPr>
                <w:rFonts w:hint="eastAsia" w:ascii="Times New Roman" w:hAnsi="Times New Roman" w:eastAsia="方正仿宋_GBK" w:cs="方正仿宋_GBK"/>
                <w:b w:val="0"/>
                <w:bCs w:val="0"/>
                <w:color w:val="auto"/>
                <w:kern w:val="0"/>
                <w:sz w:val="28"/>
                <w:szCs w:val="28"/>
                <w:highlight w:val="none"/>
                <w:lang w:eastAsia="zh-CN"/>
              </w:rPr>
              <w:t>，</w:t>
            </w:r>
            <w:r>
              <w:rPr>
                <w:rFonts w:hint="eastAsia" w:ascii="Times New Roman" w:hAnsi="Times New Roman" w:eastAsia="方正仿宋_GBK" w:cs="方正仿宋_GBK"/>
                <w:b w:val="0"/>
                <w:bCs w:val="0"/>
                <w:color w:val="auto"/>
                <w:kern w:val="0"/>
                <w:sz w:val="28"/>
                <w:szCs w:val="28"/>
                <w:highlight w:val="none"/>
              </w:rPr>
              <w:t>每次不</w:t>
            </w:r>
            <w:r>
              <w:rPr>
                <w:rFonts w:hint="eastAsia" w:ascii="Times New Roman" w:hAnsi="Times New Roman" w:eastAsia="方正仿宋_GBK" w:cs="方正仿宋_GBK"/>
                <w:b w:val="0"/>
                <w:bCs w:val="0"/>
                <w:color w:val="auto"/>
                <w:kern w:val="0"/>
                <w:sz w:val="28"/>
                <w:szCs w:val="28"/>
                <w:highlight w:val="none"/>
                <w:lang w:eastAsia="zh-CN"/>
              </w:rPr>
              <w:t>少</w:t>
            </w:r>
            <w:r>
              <w:rPr>
                <w:rFonts w:hint="eastAsia" w:ascii="Times New Roman" w:hAnsi="Times New Roman" w:eastAsia="方正仿宋_GBK" w:cs="方正仿宋_GBK"/>
                <w:b w:val="0"/>
                <w:bCs w:val="0"/>
                <w:color w:val="auto"/>
                <w:kern w:val="0"/>
                <w:sz w:val="28"/>
                <w:szCs w:val="28"/>
                <w:highlight w:val="none"/>
              </w:rPr>
              <w:t>于30分钟。</w:t>
            </w:r>
          </w:p>
        </w:tc>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hint="eastAsia" w:ascii="Times New Roman" w:hAnsi="Times New Roman" w:eastAsia="方正仿宋_GBK" w:cs="方正仿宋_GBK"/>
                <w:b w:val="0"/>
                <w:bCs w:val="0"/>
                <w:color w:val="auto"/>
                <w:kern w:val="0"/>
                <w:sz w:val="28"/>
                <w:szCs w:val="28"/>
                <w:highlight w:val="none"/>
                <w:u w:val="single"/>
                <w:lang w:val="en-US" w:eastAsia="zh-CN" w:bidi="ar-SA"/>
              </w:rPr>
            </w:pPr>
            <w:r>
              <w:rPr>
                <w:rFonts w:hint="eastAsia" w:ascii="Times New Roman" w:hAnsi="Times New Roman" w:eastAsia="方正仿宋_GBK" w:cs="方正仿宋_GBK"/>
                <w:b w:val="0"/>
                <w:bCs w:val="0"/>
                <w:color w:val="auto"/>
                <w:kern w:val="0"/>
                <w:sz w:val="28"/>
                <w:szCs w:val="28"/>
                <w:highlight w:val="none"/>
              </w:rPr>
              <w:t>4次/月，每次不低于30分钟。</w:t>
            </w:r>
          </w:p>
        </w:tc>
        <w:tc>
          <w:tcPr>
            <w:tcW w:w="6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rPr>
              <w:t>4次/月</w:t>
            </w:r>
            <w:r>
              <w:rPr>
                <w:rFonts w:hint="eastAsia" w:ascii="Times New Roman" w:hAnsi="Times New Roman" w:eastAsia="方正仿宋_GBK" w:cs="方正仿宋_GBK"/>
                <w:b w:val="0"/>
                <w:bCs w:val="0"/>
                <w:color w:val="auto"/>
                <w:kern w:val="0"/>
                <w:sz w:val="28"/>
                <w:szCs w:val="28"/>
                <w:highlight w:val="none"/>
                <w:lang w:eastAsia="zh-CN"/>
              </w:rPr>
              <w:t>，</w:t>
            </w:r>
            <w:r>
              <w:rPr>
                <w:rFonts w:hint="eastAsia" w:ascii="Times New Roman" w:hAnsi="Times New Roman" w:eastAsia="方正仿宋_GBK" w:cs="方正仿宋_GBK"/>
                <w:b w:val="0"/>
                <w:bCs w:val="0"/>
                <w:color w:val="auto"/>
                <w:kern w:val="0"/>
                <w:sz w:val="28"/>
                <w:szCs w:val="28"/>
                <w:highlight w:val="none"/>
              </w:rPr>
              <w:t>每次不</w:t>
            </w:r>
            <w:r>
              <w:rPr>
                <w:rFonts w:hint="eastAsia" w:ascii="Times New Roman" w:hAnsi="Times New Roman" w:eastAsia="方正仿宋_GBK" w:cs="方正仿宋_GBK"/>
                <w:b w:val="0"/>
                <w:bCs w:val="0"/>
                <w:color w:val="auto"/>
                <w:kern w:val="0"/>
                <w:sz w:val="28"/>
                <w:szCs w:val="28"/>
                <w:highlight w:val="none"/>
                <w:lang w:eastAsia="zh-CN"/>
              </w:rPr>
              <w:t>少</w:t>
            </w:r>
            <w:r>
              <w:rPr>
                <w:rFonts w:hint="eastAsia" w:ascii="Times New Roman" w:hAnsi="Times New Roman" w:eastAsia="方正仿宋_GBK" w:cs="方正仿宋_GBK"/>
                <w:b w:val="0"/>
                <w:bCs w:val="0"/>
                <w:color w:val="auto"/>
                <w:kern w:val="0"/>
                <w:sz w:val="28"/>
                <w:szCs w:val="28"/>
                <w:highlight w:val="none"/>
              </w:rPr>
              <w:t>于30分钟。</w:t>
            </w:r>
          </w:p>
        </w:tc>
        <w:tc>
          <w:tcPr>
            <w:tcW w:w="6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hint="eastAsia" w:ascii="Times New Roman" w:hAnsi="Times New Roman" w:eastAsia="方正仿宋_GBK" w:cs="方正仿宋_GBK"/>
                <w:b w:val="0"/>
                <w:bCs w:val="0"/>
                <w:color w:val="auto"/>
                <w:kern w:val="0"/>
                <w:sz w:val="28"/>
                <w:szCs w:val="28"/>
                <w:highlight w:val="none"/>
                <w:u w:val="single"/>
                <w:lang w:val="en-US" w:eastAsia="zh-CN" w:bidi="ar-SA"/>
              </w:rPr>
            </w:pPr>
            <w:r>
              <w:rPr>
                <w:rFonts w:hint="eastAsia" w:ascii="Times New Roman" w:hAnsi="Times New Roman" w:eastAsia="方正仿宋_GBK" w:cs="方正仿宋_GBK"/>
                <w:b w:val="0"/>
                <w:bCs w:val="0"/>
                <w:color w:val="auto"/>
                <w:kern w:val="0"/>
                <w:sz w:val="28"/>
                <w:szCs w:val="28"/>
                <w:highlight w:val="none"/>
              </w:rPr>
              <w:t>4次/月，每次不低于30分钟。</w:t>
            </w:r>
          </w:p>
        </w:tc>
      </w:tr>
      <w:tr>
        <w:tblPrEx>
          <w:tblCellMar>
            <w:top w:w="0" w:type="dxa"/>
            <w:left w:w="108" w:type="dxa"/>
            <w:bottom w:w="0" w:type="dxa"/>
            <w:right w:w="108" w:type="dxa"/>
          </w:tblCellMar>
        </w:tblPrEx>
        <w:trPr>
          <w:trHeight w:val="1242"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lang w:val="en-US" w:eastAsia="zh-CN"/>
              </w:rPr>
              <w:t>27</w:t>
            </w:r>
          </w:p>
        </w:tc>
        <w:tc>
          <w:tcPr>
            <w:tcW w:w="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其他</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6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方正仿宋_GBK"/>
                <w:b w:val="0"/>
                <w:bCs w:val="0"/>
                <w:color w:val="auto"/>
                <w:kern w:val="0"/>
                <w:sz w:val="28"/>
                <w:szCs w:val="28"/>
                <w:highlight w:val="none"/>
                <w:lang w:eastAsia="zh-CN"/>
              </w:rPr>
            </w:pPr>
            <w:r>
              <w:rPr>
                <w:rFonts w:hint="eastAsia" w:ascii="Times New Roman" w:hAnsi="Times New Roman" w:eastAsia="方正仿宋_GBK" w:cs="方正仿宋_GBK"/>
                <w:b w:val="0"/>
                <w:bCs w:val="0"/>
                <w:color w:val="auto"/>
                <w:kern w:val="0"/>
                <w:sz w:val="28"/>
                <w:szCs w:val="28"/>
                <w:highlight w:val="none"/>
                <w:lang w:eastAsia="zh-CN"/>
              </w:rPr>
              <w:t>体征监测</w:t>
            </w:r>
          </w:p>
        </w:tc>
        <w:tc>
          <w:tcPr>
            <w:tcW w:w="6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imes New Roman" w:hAnsi="Times New Roman" w:eastAsia="方正仿宋_GBK" w:cs="方正仿宋_GBK"/>
                <w:b w:val="0"/>
                <w:bCs w:val="0"/>
                <w:color w:val="auto"/>
                <w:kern w:val="0"/>
                <w:sz w:val="28"/>
                <w:szCs w:val="28"/>
                <w:highlight w:val="none"/>
                <w:lang w:eastAsia="zh-CN"/>
              </w:rPr>
            </w:pPr>
            <w:r>
              <w:rPr>
                <w:rFonts w:hint="eastAsia" w:ascii="Times New Roman" w:hAnsi="Times New Roman" w:eastAsia="方正仿宋_GBK" w:cs="方正仿宋_GBK"/>
                <w:b w:val="0"/>
                <w:bCs w:val="0"/>
                <w:color w:val="auto"/>
                <w:kern w:val="0"/>
                <w:sz w:val="28"/>
                <w:szCs w:val="28"/>
                <w:highlight w:val="none"/>
              </w:rPr>
              <w:t>对</w:t>
            </w:r>
            <w:r>
              <w:rPr>
                <w:rFonts w:hint="eastAsia" w:ascii="Times New Roman" w:hAnsi="Times New Roman" w:eastAsia="方正仿宋_GBK" w:cs="方正仿宋_GBK"/>
                <w:b w:val="0"/>
                <w:bCs w:val="0"/>
                <w:color w:val="auto"/>
                <w:kern w:val="0"/>
                <w:sz w:val="28"/>
                <w:szCs w:val="28"/>
                <w:highlight w:val="none"/>
                <w:lang w:eastAsia="zh-CN"/>
              </w:rPr>
              <w:t>护理对象的</w:t>
            </w:r>
            <w:r>
              <w:rPr>
                <w:rFonts w:hint="eastAsia" w:ascii="Times New Roman" w:hAnsi="Times New Roman" w:eastAsia="方正仿宋_GBK" w:cs="方正仿宋_GBK"/>
                <w:b w:val="0"/>
                <w:bCs w:val="0"/>
                <w:color w:val="auto"/>
                <w:kern w:val="0"/>
                <w:sz w:val="28"/>
                <w:szCs w:val="28"/>
                <w:highlight w:val="none"/>
              </w:rPr>
              <w:t>呼吸、体温、脉搏、血压各项指标</w:t>
            </w:r>
            <w:r>
              <w:rPr>
                <w:rFonts w:hint="eastAsia" w:ascii="Times New Roman" w:hAnsi="Times New Roman" w:eastAsia="方正仿宋_GBK" w:cs="方正仿宋_GBK"/>
                <w:b w:val="0"/>
                <w:bCs w:val="0"/>
                <w:color w:val="auto"/>
                <w:kern w:val="0"/>
                <w:sz w:val="28"/>
                <w:szCs w:val="28"/>
                <w:highlight w:val="none"/>
                <w:lang w:eastAsia="zh-CN"/>
              </w:rPr>
              <w:t>进行</w:t>
            </w:r>
            <w:r>
              <w:rPr>
                <w:rFonts w:hint="eastAsia" w:ascii="Times New Roman" w:hAnsi="Times New Roman" w:eastAsia="方正仿宋_GBK" w:cs="方正仿宋_GBK"/>
                <w:b w:val="0"/>
                <w:bCs w:val="0"/>
                <w:color w:val="auto"/>
                <w:kern w:val="0"/>
                <w:sz w:val="28"/>
                <w:szCs w:val="28"/>
                <w:highlight w:val="none"/>
              </w:rPr>
              <w:t>监测</w:t>
            </w:r>
            <w:r>
              <w:rPr>
                <w:rFonts w:hint="eastAsia" w:ascii="Times New Roman" w:hAnsi="Times New Roman" w:eastAsia="方正仿宋_GBK" w:cs="方正仿宋_GBK"/>
                <w:b w:val="0"/>
                <w:bCs w:val="0"/>
                <w:color w:val="auto"/>
                <w:kern w:val="0"/>
                <w:sz w:val="28"/>
                <w:szCs w:val="28"/>
                <w:highlight w:val="none"/>
                <w:lang w:eastAsia="zh-CN"/>
              </w:rPr>
              <w:t>。</w:t>
            </w:r>
          </w:p>
        </w:tc>
        <w:tc>
          <w:tcPr>
            <w:tcW w:w="8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lang w:val="en-US" w:eastAsia="zh-CN"/>
              </w:rPr>
              <w:t>通过家用设备完成，仅作为生活参考，不作为临床使用。</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w:t>
            </w:r>
            <w:r>
              <w:rPr>
                <w:rFonts w:hint="eastAsia" w:ascii="Times New Roman" w:hAnsi="Times New Roman" w:eastAsia="方正仿宋_GBK" w:cs="方正仿宋_GBK"/>
                <w:b w:val="0"/>
                <w:bCs w:val="0"/>
                <w:color w:val="auto"/>
                <w:kern w:val="0"/>
                <w:sz w:val="28"/>
                <w:szCs w:val="28"/>
                <w:highlight w:val="none"/>
                <w:lang w:eastAsia="zh-CN"/>
              </w:rPr>
              <w:t>原则上每次上门提供服务不少于1次</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根据护理对象身体状况，原则上</w:t>
            </w: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lang w:val="en-US" w:eastAsia="zh-CN"/>
              </w:rPr>
              <w:t>1</w:t>
            </w:r>
            <w:r>
              <w:rPr>
                <w:rFonts w:hint="eastAsia" w:ascii="Times New Roman" w:hAnsi="Times New Roman" w:eastAsia="方正仿宋_GBK" w:cs="方正仿宋_GBK"/>
                <w:b w:val="0"/>
                <w:bCs w:val="0"/>
                <w:color w:val="auto"/>
                <w:kern w:val="0"/>
                <w:sz w:val="28"/>
                <w:szCs w:val="28"/>
                <w:highlight w:val="none"/>
              </w:rPr>
              <w:t>次/</w:t>
            </w:r>
            <w:r>
              <w:rPr>
                <w:rFonts w:hint="eastAsia" w:ascii="Times New Roman" w:hAnsi="Times New Roman" w:eastAsia="方正仿宋_GBK" w:cs="方正仿宋_GBK"/>
                <w:b w:val="0"/>
                <w:bCs w:val="0"/>
                <w:color w:val="auto"/>
                <w:kern w:val="0"/>
                <w:sz w:val="28"/>
                <w:szCs w:val="28"/>
                <w:highlight w:val="none"/>
                <w:lang w:eastAsia="zh-CN"/>
              </w:rPr>
              <w:t>周</w:t>
            </w:r>
            <w:r>
              <w:rPr>
                <w:rFonts w:hint="eastAsia" w:ascii="Times New Roman" w:hAnsi="Times New Roman" w:eastAsia="方正仿宋_GBK" w:cs="方正仿宋_GBK"/>
                <w:b w:val="0"/>
                <w:bCs w:val="0"/>
                <w:color w:val="auto"/>
                <w:kern w:val="0"/>
                <w:sz w:val="28"/>
                <w:szCs w:val="28"/>
                <w:highlight w:val="none"/>
              </w:rPr>
              <w:t>。</w:t>
            </w:r>
          </w:p>
        </w:tc>
        <w:tc>
          <w:tcPr>
            <w:tcW w:w="6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w:t>
            </w:r>
            <w:r>
              <w:rPr>
                <w:rFonts w:hint="eastAsia" w:ascii="Times New Roman" w:hAnsi="Times New Roman" w:eastAsia="方正仿宋_GBK" w:cs="方正仿宋_GBK"/>
                <w:b w:val="0"/>
                <w:bCs w:val="0"/>
                <w:color w:val="auto"/>
                <w:kern w:val="0"/>
                <w:sz w:val="28"/>
                <w:szCs w:val="28"/>
                <w:highlight w:val="none"/>
                <w:lang w:eastAsia="zh-CN"/>
              </w:rPr>
              <w:t>原则上每次上门提供服务不少于1次</w:t>
            </w:r>
            <w:r>
              <w:rPr>
                <w:rFonts w:hint="eastAsia" w:ascii="Times New Roman" w:hAnsi="Times New Roman" w:eastAsia="方正仿宋_GBK" w:cs="方正仿宋_GBK"/>
                <w:b w:val="0"/>
                <w:bCs w:val="0"/>
                <w:color w:val="auto"/>
                <w:kern w:val="0"/>
                <w:sz w:val="28"/>
                <w:szCs w:val="28"/>
                <w:highlight w:val="none"/>
                <w:lang w:val="en-US" w:eastAsia="zh-CN"/>
              </w:rPr>
              <w:t>；</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6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根据护理对象身体状况，原则上</w:t>
            </w:r>
            <w:r>
              <w:rPr>
                <w:rFonts w:hint="eastAsia" w:ascii="Times New Roman" w:hAnsi="Times New Roman" w:eastAsia="方正仿宋_GBK" w:cs="方正仿宋_GBK"/>
                <w:b w:val="0"/>
                <w:bCs w:val="0"/>
                <w:color w:val="auto"/>
                <w:kern w:val="0"/>
                <w:sz w:val="28"/>
                <w:szCs w:val="28"/>
                <w:highlight w:val="none"/>
                <w:lang w:eastAsia="zh-CN"/>
              </w:rPr>
              <w:t>不少于</w:t>
            </w:r>
            <w:r>
              <w:rPr>
                <w:rFonts w:hint="eastAsia" w:ascii="Times New Roman" w:hAnsi="Times New Roman" w:eastAsia="方正仿宋_GBK" w:cs="方正仿宋_GBK"/>
                <w:b w:val="0"/>
                <w:bCs w:val="0"/>
                <w:color w:val="auto"/>
                <w:kern w:val="0"/>
                <w:sz w:val="28"/>
                <w:szCs w:val="28"/>
                <w:highlight w:val="none"/>
                <w:lang w:val="en-US" w:eastAsia="zh-CN"/>
              </w:rPr>
              <w:t>1</w:t>
            </w:r>
            <w:r>
              <w:rPr>
                <w:rFonts w:hint="eastAsia" w:ascii="Times New Roman" w:hAnsi="Times New Roman" w:eastAsia="方正仿宋_GBK" w:cs="方正仿宋_GBK"/>
                <w:b w:val="0"/>
                <w:bCs w:val="0"/>
                <w:color w:val="auto"/>
                <w:kern w:val="0"/>
                <w:sz w:val="28"/>
                <w:szCs w:val="28"/>
                <w:highlight w:val="none"/>
              </w:rPr>
              <w:t>次/</w:t>
            </w:r>
            <w:r>
              <w:rPr>
                <w:rFonts w:hint="eastAsia" w:ascii="Times New Roman" w:hAnsi="Times New Roman" w:eastAsia="方正仿宋_GBK" w:cs="方正仿宋_GBK"/>
                <w:b w:val="0"/>
                <w:bCs w:val="0"/>
                <w:color w:val="auto"/>
                <w:kern w:val="0"/>
                <w:sz w:val="28"/>
                <w:szCs w:val="28"/>
                <w:highlight w:val="none"/>
                <w:lang w:eastAsia="zh-CN"/>
              </w:rPr>
              <w:t>周</w:t>
            </w:r>
            <w:r>
              <w:rPr>
                <w:rFonts w:hint="eastAsia" w:ascii="Times New Roman" w:hAnsi="Times New Roman" w:eastAsia="方正仿宋_GBK" w:cs="方正仿宋_GBK"/>
                <w:b w:val="0"/>
                <w:bCs w:val="0"/>
                <w:color w:val="auto"/>
                <w:kern w:val="0"/>
                <w:sz w:val="28"/>
                <w:szCs w:val="28"/>
                <w:highlight w:val="none"/>
              </w:rPr>
              <w:t>。</w:t>
            </w:r>
          </w:p>
        </w:tc>
      </w:tr>
      <w:tr>
        <w:tblPrEx>
          <w:tblCellMar>
            <w:top w:w="0" w:type="dxa"/>
            <w:left w:w="108" w:type="dxa"/>
            <w:bottom w:w="0" w:type="dxa"/>
            <w:right w:w="108" w:type="dxa"/>
          </w:tblCellMar>
        </w:tblPrEx>
        <w:trPr>
          <w:trHeight w:val="1242"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lang w:val="en-US" w:eastAsia="zh-CN"/>
              </w:rPr>
              <w:t>28</w:t>
            </w:r>
          </w:p>
        </w:tc>
        <w:tc>
          <w:tcPr>
            <w:tcW w:w="2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其他</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方正仿宋_GBK" w:cs="方正仿宋_GBK"/>
                <w:b w:val="0"/>
                <w:bCs w:val="0"/>
                <w:color w:val="auto"/>
                <w:kern w:val="0"/>
                <w:sz w:val="28"/>
                <w:szCs w:val="28"/>
                <w:highlight w:val="none"/>
              </w:rPr>
            </w:pPr>
            <w:r>
              <w:rPr>
                <w:rFonts w:hint="eastAsia" w:ascii="Times New Roman" w:hAnsi="Times New Roman" w:eastAsia="方正仿宋_GBK" w:cs="方正仿宋_GBK"/>
                <w:b w:val="0"/>
                <w:bCs w:val="0"/>
                <w:color w:val="auto"/>
                <w:kern w:val="0"/>
                <w:sz w:val="28"/>
                <w:szCs w:val="28"/>
                <w:highlight w:val="none"/>
              </w:rPr>
              <w:t>照料</w:t>
            </w:r>
          </w:p>
        </w:tc>
        <w:tc>
          <w:tcPr>
            <w:tcW w:w="62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lang w:eastAsia="zh-CN"/>
              </w:rPr>
              <w:t>皮肤外用药涂擦</w:t>
            </w:r>
          </w:p>
        </w:tc>
        <w:tc>
          <w:tcPr>
            <w:tcW w:w="6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b w:val="0"/>
                <w:bCs w:val="0"/>
                <w:color w:val="auto"/>
                <w:kern w:val="0"/>
                <w:sz w:val="28"/>
                <w:szCs w:val="28"/>
                <w:highlight w:val="none"/>
                <w:lang w:eastAsia="zh-CN"/>
              </w:rPr>
            </w:pPr>
            <w:r>
              <w:rPr>
                <w:rFonts w:hint="eastAsia" w:ascii="Times New Roman" w:hAnsi="Times New Roman" w:eastAsia="方正仿宋_GBK" w:cs="方正仿宋_GBK"/>
                <w:b w:val="0"/>
                <w:bCs w:val="0"/>
                <w:color w:val="auto"/>
                <w:kern w:val="0"/>
                <w:sz w:val="28"/>
                <w:szCs w:val="28"/>
                <w:highlight w:val="none"/>
                <w:lang w:eastAsia="zh-CN"/>
              </w:rPr>
              <w:t>给服务对象针对皮肤疾病或者关节疼痛等进行外用药涂擦。</w:t>
            </w:r>
          </w:p>
        </w:tc>
        <w:tc>
          <w:tcPr>
            <w:tcW w:w="8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rPr>
            </w:pPr>
            <w:r>
              <w:rPr>
                <w:rFonts w:hint="eastAsia" w:ascii="Times New Roman" w:hAnsi="Times New Roman" w:eastAsia="方正仿宋_GBK" w:cs="方正仿宋_GBK"/>
                <w:b w:val="0"/>
                <w:bCs w:val="0"/>
                <w:color w:val="auto"/>
                <w:kern w:val="0"/>
                <w:sz w:val="28"/>
                <w:szCs w:val="28"/>
                <w:highlight w:val="none"/>
                <w:lang w:eastAsia="zh-CN"/>
              </w:rPr>
              <w:t>仅限有医嘱时配合完成，且不得替代临床行为。</w:t>
            </w:r>
          </w:p>
        </w:tc>
        <w:tc>
          <w:tcPr>
            <w:tcW w:w="61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根据对象需要</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59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根据对象需要。</w:t>
            </w:r>
          </w:p>
        </w:tc>
        <w:tc>
          <w:tcPr>
            <w:tcW w:w="60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根据对象需要</w:t>
            </w:r>
            <w:r>
              <w:rPr>
                <w:rFonts w:hint="eastAsia" w:ascii="Times New Roman" w:hAnsi="Times New Roman" w:eastAsia="方正仿宋_GBK" w:cs="方正仿宋_GBK"/>
                <w:b w:val="0"/>
                <w:bCs w:val="0"/>
                <w:color w:val="auto"/>
                <w:kern w:val="0"/>
                <w:sz w:val="28"/>
                <w:szCs w:val="28"/>
                <w:highlight w:val="none"/>
                <w:lang w:eastAsia="zh-CN"/>
              </w:rPr>
              <w:t>，每月定期指导不少于</w:t>
            </w:r>
            <w:r>
              <w:rPr>
                <w:rFonts w:hint="eastAsia" w:ascii="Times New Roman" w:hAnsi="Times New Roman" w:eastAsia="方正仿宋_GBK" w:cs="方正仿宋_GBK"/>
                <w:b w:val="0"/>
                <w:bCs w:val="0"/>
                <w:color w:val="auto"/>
                <w:kern w:val="0"/>
                <w:sz w:val="28"/>
                <w:szCs w:val="28"/>
                <w:highlight w:val="none"/>
                <w:lang w:val="en-US" w:eastAsia="zh-CN"/>
              </w:rPr>
              <w:t>1次</w:t>
            </w:r>
            <w:r>
              <w:rPr>
                <w:rFonts w:hint="eastAsia" w:ascii="Times New Roman" w:hAnsi="Times New Roman" w:eastAsia="方正仿宋_GBK" w:cs="方正仿宋_GBK"/>
                <w:b w:val="0"/>
                <w:bCs w:val="0"/>
                <w:color w:val="auto"/>
                <w:kern w:val="0"/>
                <w:sz w:val="28"/>
                <w:szCs w:val="28"/>
                <w:highlight w:val="none"/>
              </w:rPr>
              <w:t>。</w:t>
            </w:r>
          </w:p>
        </w:tc>
        <w:tc>
          <w:tcPr>
            <w:tcW w:w="6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方正仿宋_GBK"/>
                <w:b w:val="0"/>
                <w:bCs w:val="0"/>
                <w:color w:val="auto"/>
                <w:kern w:val="0"/>
                <w:sz w:val="28"/>
                <w:szCs w:val="28"/>
                <w:highlight w:val="none"/>
                <w:lang w:val="en-US" w:eastAsia="zh-CN" w:bidi="ar-SA"/>
              </w:rPr>
            </w:pPr>
            <w:r>
              <w:rPr>
                <w:rFonts w:hint="eastAsia" w:ascii="Times New Roman" w:hAnsi="Times New Roman" w:eastAsia="方正仿宋_GBK" w:cs="方正仿宋_GBK"/>
                <w:b w:val="0"/>
                <w:bCs w:val="0"/>
                <w:color w:val="auto"/>
                <w:kern w:val="0"/>
                <w:sz w:val="28"/>
                <w:szCs w:val="28"/>
                <w:highlight w:val="none"/>
              </w:rPr>
              <w:t>根据对象需要。</w:t>
            </w:r>
          </w:p>
        </w:tc>
      </w:tr>
    </w:tbl>
    <w:p>
      <w:pPr>
        <w:keepNext w:val="0"/>
        <w:keepLines w:val="0"/>
        <w:pageBreakBefore w:val="0"/>
        <w:widowControl/>
        <w:kinsoku/>
        <w:wordWrap/>
        <w:overflowPunct/>
        <w:topLinePunct w:val="0"/>
        <w:autoSpaceDE/>
        <w:autoSpaceDN/>
        <w:bidi w:val="0"/>
        <w:adjustRightInd/>
        <w:snapToGrid/>
        <w:spacing w:line="380" w:lineRule="exact"/>
        <w:ind w:left="0" w:leftChars="0" w:firstLine="480" w:firstLineChars="200"/>
        <w:textAlignment w:val="auto"/>
        <w:rPr>
          <w:rFonts w:hint="default" w:ascii="Times New Roman" w:hAnsi="Times New Roman" w:eastAsia="方正仿宋_GBK" w:cs="方正仿宋_GBK"/>
          <w:b w:val="0"/>
          <w:bCs w:val="0"/>
          <w:color w:val="auto"/>
          <w:kern w:val="0"/>
          <w:sz w:val="24"/>
          <w:szCs w:val="22"/>
          <w:highlight w:val="none"/>
          <w:lang w:val="en-US" w:eastAsia="zh-CN"/>
        </w:rPr>
      </w:pPr>
      <w:r>
        <w:rPr>
          <w:rFonts w:hint="eastAsia" w:ascii="Times New Roman" w:hAnsi="Times New Roman" w:eastAsia="方正仿宋_GBK" w:cs="方正仿宋_GBK"/>
          <w:b w:val="0"/>
          <w:bCs w:val="0"/>
          <w:color w:val="auto"/>
          <w:kern w:val="0"/>
          <w:sz w:val="24"/>
          <w:szCs w:val="22"/>
          <w:highlight w:val="none"/>
        </w:rPr>
        <w:t>服务结果其他要求：</w:t>
      </w:r>
      <w:r>
        <w:rPr>
          <w:rFonts w:hint="eastAsia" w:ascii="Times New Roman" w:hAnsi="Times New Roman" w:eastAsia="方正仿宋_GBK" w:cs="方正仿宋_GBK"/>
          <w:b w:val="0"/>
          <w:bCs w:val="0"/>
          <w:color w:val="auto"/>
          <w:kern w:val="0"/>
          <w:sz w:val="24"/>
          <w:szCs w:val="22"/>
          <w:highlight w:val="none"/>
          <w:lang w:val="en-US" w:eastAsia="zh-CN"/>
        </w:rPr>
        <w:t>1．</w:t>
      </w:r>
      <w:r>
        <w:rPr>
          <w:rFonts w:hint="eastAsia" w:ascii="Times New Roman" w:hAnsi="Times New Roman" w:eastAsia="方正仿宋_GBK" w:cs="方正仿宋_GBK"/>
          <w:b w:val="0"/>
          <w:bCs w:val="0"/>
          <w:color w:val="auto"/>
          <w:kern w:val="0"/>
          <w:sz w:val="24"/>
          <w:szCs w:val="22"/>
          <w:highlight w:val="none"/>
        </w:rPr>
        <w:t>护理服务记录完善、详实；</w:t>
      </w:r>
      <w:r>
        <w:rPr>
          <w:rFonts w:hint="eastAsia" w:ascii="Times New Roman" w:hAnsi="Times New Roman" w:eastAsia="方正仿宋_GBK" w:cs="方正仿宋_GBK"/>
          <w:b w:val="0"/>
          <w:bCs w:val="0"/>
          <w:color w:val="auto"/>
          <w:kern w:val="0"/>
          <w:sz w:val="24"/>
          <w:szCs w:val="22"/>
          <w:highlight w:val="none"/>
          <w:lang w:val="en-US" w:eastAsia="zh-CN"/>
        </w:rPr>
        <w:t>2．</w:t>
      </w:r>
      <w:r>
        <w:rPr>
          <w:rFonts w:hint="eastAsia" w:ascii="Times New Roman" w:hAnsi="Times New Roman" w:eastAsia="方正仿宋_GBK" w:cs="方正仿宋_GBK"/>
          <w:b w:val="0"/>
          <w:bCs w:val="0"/>
          <w:color w:val="auto"/>
          <w:kern w:val="0"/>
          <w:sz w:val="24"/>
          <w:szCs w:val="22"/>
          <w:highlight w:val="none"/>
        </w:rPr>
        <w:t>护理对象和家属满意；</w:t>
      </w:r>
      <w:r>
        <w:rPr>
          <w:rFonts w:hint="eastAsia" w:ascii="Times New Roman" w:hAnsi="Times New Roman" w:eastAsia="方正仿宋_GBK" w:cs="方正仿宋_GBK"/>
          <w:b w:val="0"/>
          <w:bCs w:val="0"/>
          <w:color w:val="auto"/>
          <w:kern w:val="0"/>
          <w:sz w:val="24"/>
          <w:szCs w:val="22"/>
          <w:highlight w:val="none"/>
          <w:lang w:val="en-US" w:eastAsia="zh-CN"/>
        </w:rPr>
        <w:t>3．</w:t>
      </w:r>
      <w:r>
        <w:rPr>
          <w:rFonts w:hint="eastAsia" w:ascii="Times New Roman" w:hAnsi="Times New Roman" w:eastAsia="方正仿宋_GBK" w:cs="方正仿宋_GBK"/>
          <w:b w:val="0"/>
          <w:bCs w:val="0"/>
          <w:color w:val="auto"/>
          <w:kern w:val="0"/>
          <w:sz w:val="24"/>
          <w:szCs w:val="22"/>
          <w:highlight w:val="none"/>
        </w:rPr>
        <w:t>做好护理服务对象安全防范，特别是防坠床、跌倒，吞咽障碍等安全风险防范，无重大安全风险和安全事故</w:t>
      </w:r>
      <w:r>
        <w:rPr>
          <w:rFonts w:hint="eastAsia" w:ascii="Times New Roman" w:hAnsi="Times New Roman" w:eastAsia="方正仿宋_GBK" w:cs="方正仿宋_GBK"/>
          <w:b w:val="0"/>
          <w:bCs w:val="0"/>
          <w:color w:val="auto"/>
          <w:kern w:val="0"/>
          <w:sz w:val="24"/>
          <w:szCs w:val="22"/>
          <w:highlight w:val="none"/>
          <w:lang w:eastAsia="zh-CN"/>
        </w:rPr>
        <w:t>；</w:t>
      </w:r>
      <w:r>
        <w:rPr>
          <w:rFonts w:hint="eastAsia" w:ascii="Times New Roman" w:hAnsi="Times New Roman" w:eastAsia="方正仿宋_GBK" w:cs="方正仿宋_GBK"/>
          <w:b w:val="0"/>
          <w:bCs w:val="0"/>
          <w:color w:val="auto"/>
          <w:kern w:val="0"/>
          <w:sz w:val="24"/>
          <w:szCs w:val="22"/>
          <w:highlight w:val="none"/>
          <w:lang w:val="en-US" w:eastAsia="zh-CN"/>
        </w:rPr>
        <w:t>4．针对护理对象需求合理规划护理时间，做到间隔合理、实施有效；5．</w:t>
      </w:r>
      <w:r>
        <w:rPr>
          <w:rFonts w:hint="eastAsia" w:ascii="Times New Roman" w:hAnsi="Times New Roman" w:eastAsia="方正仿宋_GBK" w:cs="方正仿宋_GBK"/>
          <w:b w:val="0"/>
          <w:bCs w:val="0"/>
          <w:color w:val="auto"/>
          <w:kern w:val="0"/>
          <w:sz w:val="24"/>
          <w:szCs w:val="22"/>
          <w:highlight w:val="none"/>
          <w:lang w:eastAsia="zh-CN"/>
        </w:rPr>
        <w:t>机构上门护理每次服务时长不低于</w:t>
      </w:r>
      <w:r>
        <w:rPr>
          <w:rFonts w:hint="eastAsia" w:ascii="Times New Roman" w:hAnsi="Times New Roman" w:eastAsia="方正仿宋_GBK" w:cs="方正仿宋_GBK"/>
          <w:b w:val="0"/>
          <w:bCs w:val="0"/>
          <w:color w:val="auto"/>
          <w:kern w:val="0"/>
          <w:sz w:val="24"/>
          <w:szCs w:val="22"/>
          <w:highlight w:val="none"/>
          <w:lang w:val="en-US" w:eastAsia="zh-CN"/>
        </w:rPr>
        <w:t>50分钟；</w:t>
      </w:r>
      <w:r>
        <w:rPr>
          <w:rFonts w:hint="eastAsia" w:ascii="Times New Roman" w:hAnsi="Times New Roman" w:eastAsia="方正仿宋_GBK" w:cs="方正仿宋_GBK"/>
          <w:b w:val="0"/>
          <w:bCs w:val="0"/>
          <w:color w:val="auto"/>
          <w:kern w:val="0"/>
          <w:sz w:val="24"/>
          <w:szCs w:val="22"/>
          <w:highlight w:val="none"/>
        </w:rPr>
        <w:t>服务过程中，做到耐心指导；</w:t>
      </w:r>
      <w:r>
        <w:rPr>
          <w:rFonts w:hint="eastAsia" w:ascii="Times New Roman" w:hAnsi="Times New Roman" w:eastAsia="方正仿宋_GBK" w:cs="方正仿宋_GBK"/>
          <w:b w:val="0"/>
          <w:bCs w:val="0"/>
          <w:color w:val="auto"/>
          <w:kern w:val="0"/>
          <w:sz w:val="24"/>
          <w:szCs w:val="22"/>
          <w:highlight w:val="none"/>
          <w:lang w:val="en-US" w:eastAsia="zh-CN"/>
        </w:rPr>
        <w:t>上门间隔时间合理，原则上月内均匀分布；单个项目频次大于附件2要求频次时，可以附件2的频次为准，因此导致的总服务时长低于附件2要求时，可根据护理对象需要，通过增加服务项目的方式达到附件2对时长的要求。</w:t>
      </w:r>
    </w:p>
    <w:p>
      <w:pPr>
        <w:keepNext w:val="0"/>
        <w:keepLines w:val="0"/>
        <w:pageBreakBefore w:val="0"/>
        <w:kinsoku/>
        <w:wordWrap/>
        <w:overflowPunct/>
        <w:topLinePunct w:val="0"/>
        <w:autoSpaceDE/>
        <w:autoSpaceDN/>
        <w:bidi w:val="0"/>
        <w:adjustRightInd/>
        <w:snapToGrid/>
        <w:ind w:firstLine="480" w:firstLineChars="200"/>
        <w:textAlignment w:val="auto"/>
        <w:rPr>
          <w:rFonts w:hint="eastAsia" w:ascii="Times New Roman" w:hAnsi="Times New Roman" w:eastAsia="方正仿宋_GBK" w:cs="方正仿宋_GBK"/>
          <w:b w:val="0"/>
          <w:bCs w:val="0"/>
          <w:color w:val="auto"/>
          <w:kern w:val="0"/>
          <w:sz w:val="24"/>
          <w:szCs w:val="22"/>
          <w:highlight w:val="none"/>
        </w:rPr>
        <w:sectPr>
          <w:pgSz w:w="16838" w:h="11906" w:orient="landscape"/>
          <w:pgMar w:top="2098" w:right="1474" w:bottom="1984" w:left="1587" w:header="283" w:footer="794" w:gutter="0"/>
          <w:pgNumType w:fmt="numberInDash"/>
          <w:cols w:space="0" w:num="1"/>
          <w:rtlGutter w:val="0"/>
          <w:docGrid w:type="lines" w:linePitch="460" w:charSpace="0"/>
        </w:sectPr>
      </w:pPr>
    </w:p>
    <w:p>
      <w:pPr>
        <w:keepNext/>
        <w:keepLines/>
        <w:pageBreakBefore w:val="0"/>
        <w:widowControl w:val="0"/>
        <w:kinsoku/>
        <w:wordWrap/>
        <w:overflowPunct/>
        <w:topLinePunct w:val="0"/>
        <w:autoSpaceDE/>
        <w:autoSpaceDN/>
        <w:bidi w:val="0"/>
        <w:adjustRightInd/>
        <w:snapToGrid/>
        <w:spacing w:before="0" w:after="0" w:line="530" w:lineRule="exact"/>
        <w:jc w:val="both"/>
        <w:textAlignment w:val="auto"/>
        <w:outlineLvl w:val="0"/>
        <w:rPr>
          <w:rFonts w:hint="eastAsia" w:ascii="Times New Roman" w:hAnsi="Times New Roman" w:eastAsia="方正黑体_GBK" w:cs="方正黑体_GBK"/>
          <w:b w:val="0"/>
          <w:bCs w:val="0"/>
          <w:kern w:val="2"/>
          <w:sz w:val="32"/>
          <w:szCs w:val="32"/>
          <w:highlight w:val="none"/>
          <w:lang w:val="en-US" w:eastAsia="zh-CN" w:bidi="ar-SA"/>
        </w:rPr>
      </w:pPr>
      <w:r>
        <w:rPr>
          <w:rFonts w:hint="eastAsia" w:ascii="Times New Roman" w:hAnsi="Times New Roman" w:eastAsia="方正黑体_GBK" w:cs="方正黑体_GBK"/>
          <w:b w:val="0"/>
          <w:bCs w:val="0"/>
          <w:kern w:val="2"/>
          <w:sz w:val="32"/>
          <w:szCs w:val="32"/>
          <w:highlight w:val="none"/>
          <w:lang w:val="en-US" w:eastAsia="zh-CN" w:bidi="ar-SA"/>
        </w:rPr>
        <w:t>附件2</w:t>
      </w:r>
    </w:p>
    <w:p>
      <w:pPr>
        <w:pageBreakBefore w:val="0"/>
        <w:widowControl w:val="0"/>
        <w:kinsoku/>
        <w:wordWrap/>
        <w:overflowPunct/>
        <w:topLinePunct w:val="0"/>
        <w:bidi w:val="0"/>
        <w:snapToGrid/>
        <w:spacing w:line="530" w:lineRule="exact"/>
        <w:jc w:val="center"/>
        <w:textAlignment w:val="auto"/>
        <w:rPr>
          <w:rFonts w:hint="eastAsia" w:ascii="Times New Roman" w:hAnsi="Times New Roman" w:eastAsia="方正小标宋_GBK" w:cs="方正小标宋_GBK"/>
          <w:b w:val="0"/>
          <w:bCs w:val="0"/>
          <w:sz w:val="44"/>
          <w:szCs w:val="44"/>
          <w:highlight w:val="none"/>
          <w:lang w:val="en-US" w:eastAsia="zh-CN"/>
        </w:rPr>
      </w:pPr>
    </w:p>
    <w:p>
      <w:pPr>
        <w:pageBreakBefore w:val="0"/>
        <w:widowControl w:val="0"/>
        <w:kinsoku/>
        <w:wordWrap/>
        <w:overflowPunct/>
        <w:topLinePunct w:val="0"/>
        <w:bidi w:val="0"/>
        <w:snapToGrid/>
        <w:spacing w:line="530" w:lineRule="exact"/>
        <w:jc w:val="center"/>
        <w:textAlignment w:val="auto"/>
        <w:rPr>
          <w:rFonts w:hint="eastAsia" w:ascii="Times New Roman" w:hAnsi="Times New Roman" w:eastAsia="方正小标宋_GBK" w:cs="方正小标宋_GBK"/>
          <w:b w:val="0"/>
          <w:bCs w:val="0"/>
          <w:sz w:val="44"/>
          <w:szCs w:val="44"/>
          <w:highlight w:val="none"/>
          <w:lang w:val="en-US" w:eastAsia="zh-CN"/>
        </w:rPr>
      </w:pPr>
      <w:r>
        <w:rPr>
          <w:rFonts w:hint="eastAsia" w:ascii="Times New Roman" w:hAnsi="Times New Roman" w:eastAsia="方正小标宋_GBK" w:cs="方正小标宋_GBK"/>
          <w:b w:val="0"/>
          <w:bCs w:val="0"/>
          <w:sz w:val="44"/>
          <w:szCs w:val="44"/>
          <w:highlight w:val="none"/>
          <w:lang w:val="en-US" w:eastAsia="zh-CN"/>
        </w:rPr>
        <w:t>待遇享受人员服务项目组成</w:t>
      </w:r>
    </w:p>
    <w:p>
      <w:pPr>
        <w:keepNext w:val="0"/>
        <w:keepLines w:val="0"/>
        <w:pageBreakBefore w:val="0"/>
        <w:widowControl w:val="0"/>
        <w:kinsoku/>
        <w:wordWrap/>
        <w:overflowPunct/>
        <w:topLinePunct w:val="0"/>
        <w:autoSpaceDE w:val="0"/>
        <w:autoSpaceDN w:val="0"/>
        <w:bidi w:val="0"/>
        <w:adjustRightInd w:val="0"/>
        <w:snapToGrid/>
        <w:spacing w:line="530" w:lineRule="exact"/>
        <w:ind w:left="17" w:leftChars="8" w:firstLine="617" w:firstLineChars="193"/>
        <w:jc w:val="both"/>
        <w:textAlignment w:val="auto"/>
        <w:rPr>
          <w:rFonts w:hint="eastAsia" w:ascii="Times New Roman" w:hAnsi="Times New Roman" w:eastAsia="方正仿宋_GBK" w:cs="方正仿宋_GBK"/>
          <w:b w:val="0"/>
          <w:bCs w:val="0"/>
          <w:sz w:val="32"/>
          <w:szCs w:val="22"/>
          <w:highlight w:val="none"/>
          <w:lang w:val="en-US" w:eastAsia="zh-CN"/>
        </w:rPr>
      </w:pP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b w:val="0"/>
          <w:bCs w:val="0"/>
          <w:snapToGrid w:val="0"/>
          <w:kern w:val="0"/>
          <w:sz w:val="32"/>
          <w:szCs w:val="22"/>
          <w:highlight w:val="none"/>
          <w:lang w:val="en-US" w:eastAsia="zh-CN" w:bidi="ar-SA"/>
        </w:rPr>
      </w:pPr>
      <w:r>
        <w:rPr>
          <w:rFonts w:hint="eastAsia" w:ascii="Times New Roman" w:hAnsi="Times New Roman" w:eastAsia="方正仿宋_GBK" w:cs="方正仿宋_GBK"/>
          <w:b w:val="0"/>
          <w:bCs w:val="0"/>
          <w:snapToGrid w:val="0"/>
          <w:kern w:val="0"/>
          <w:sz w:val="32"/>
          <w:szCs w:val="22"/>
          <w:highlight w:val="none"/>
          <w:lang w:val="en-US" w:eastAsia="zh-CN" w:bidi="ar-SA"/>
        </w:rPr>
        <w:t>1</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snapToGrid w:val="0"/>
          <w:kern w:val="0"/>
          <w:sz w:val="32"/>
          <w:szCs w:val="22"/>
          <w:highlight w:val="none"/>
          <w:lang w:val="en-US" w:eastAsia="zh-CN" w:bidi="ar-SA"/>
        </w:rPr>
        <w:t>重度失能人员居家组合护理服务项目。由8+8构成，第一个“8”由个体护理人员提供服务，由6个必选项和剩下22项中选择2项构成；第二个“8”由护理机构提供服务，在28个项目中选择8项，构成16项重度失能人员居家组合护理服务项目（个体服务人员的服务项目和定点护理机构的服务项目可重复）。其中机构护理每月上门护理服务不低于12次。原则上1日内最高结算1次，因部分项目护理需要延长时间时，经待遇享受人员与定点护理机构协商一致后，可在1日内连续服务2次并按2次结算，每月连续服务2次并按2次结算不超过2回。</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方正仿宋_GBK"/>
          <w:b w:val="0"/>
          <w:bCs w:val="0"/>
          <w:snapToGrid w:val="0"/>
          <w:kern w:val="0"/>
          <w:sz w:val="32"/>
          <w:szCs w:val="22"/>
          <w:highlight w:val="none"/>
          <w:lang w:val="en-US" w:eastAsia="zh-CN" w:bidi="ar-SA"/>
        </w:rPr>
      </w:pPr>
      <w:r>
        <w:rPr>
          <w:rFonts w:hint="eastAsia" w:ascii="Times New Roman" w:hAnsi="Times New Roman" w:eastAsia="方正仿宋_GBK" w:cs="方正仿宋_GBK"/>
          <w:b w:val="0"/>
          <w:bCs w:val="0"/>
          <w:snapToGrid w:val="0"/>
          <w:kern w:val="0"/>
          <w:sz w:val="32"/>
          <w:szCs w:val="22"/>
          <w:highlight w:val="none"/>
          <w:lang w:val="en-US" w:eastAsia="zh-CN" w:bidi="ar-SA"/>
        </w:rPr>
        <w:t>2</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snapToGrid w:val="0"/>
          <w:kern w:val="0"/>
          <w:sz w:val="32"/>
          <w:szCs w:val="22"/>
          <w:highlight w:val="none"/>
          <w:lang w:val="en-US" w:eastAsia="zh-CN" w:bidi="ar-SA"/>
        </w:rPr>
        <w:t>重度失能人员机构上门护理服务项目。由6+12构成，“6”指的是6个必选项，“12”指的是在22个“可选项”中选择12项，构成18项重度失能人员机构上门护理服务项目。每月上门护理服务不低于24次。原则上1日内最高结算1次，因部分项目护理需要延长时间时，经待遇享受人员与定点护理机构协商一致后，可在1日内连续服务2次并按2次结算，每月连续服务2次并按2次结算不超过4回。</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方正仿宋_GBK"/>
          <w:b w:val="0"/>
          <w:bCs w:val="0"/>
          <w:snapToGrid w:val="0"/>
          <w:kern w:val="0"/>
          <w:sz w:val="32"/>
          <w:szCs w:val="22"/>
          <w:highlight w:val="none"/>
          <w:lang w:val="en-US" w:eastAsia="zh-CN" w:bidi="ar-SA"/>
        </w:rPr>
      </w:pPr>
      <w:r>
        <w:rPr>
          <w:rFonts w:hint="eastAsia" w:ascii="Times New Roman" w:hAnsi="Times New Roman" w:eastAsia="方正仿宋_GBK" w:cs="方正仿宋_GBK"/>
          <w:b w:val="0"/>
          <w:bCs w:val="0"/>
          <w:snapToGrid w:val="0"/>
          <w:kern w:val="0"/>
          <w:sz w:val="32"/>
          <w:szCs w:val="22"/>
          <w:highlight w:val="none"/>
          <w:lang w:val="en-US" w:eastAsia="zh-CN" w:bidi="ar-SA"/>
        </w:rPr>
        <w:t>3</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snapToGrid w:val="0"/>
          <w:kern w:val="0"/>
          <w:sz w:val="32"/>
          <w:szCs w:val="22"/>
          <w:highlight w:val="none"/>
          <w:lang w:val="en-US" w:eastAsia="zh-CN" w:bidi="ar-SA"/>
        </w:rPr>
        <w:t>重度失能人员机构集中护理服务项目。由8+12构成，“8”指的是8个必选项，“12”指的是在20个“可选项”中选择12项，构成20项重度失能人员机构集中护理服务项目。</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方正仿宋_GBK"/>
          <w:b w:val="0"/>
          <w:bCs w:val="0"/>
          <w:snapToGrid w:val="0"/>
          <w:kern w:val="0"/>
          <w:sz w:val="32"/>
          <w:szCs w:val="22"/>
          <w:highlight w:val="none"/>
          <w:lang w:val="en-US" w:eastAsia="zh-CN" w:bidi="ar-SA"/>
        </w:rPr>
      </w:pPr>
      <w:r>
        <w:rPr>
          <w:rFonts w:hint="eastAsia" w:ascii="Times New Roman" w:hAnsi="Times New Roman" w:eastAsia="方正仿宋_GBK" w:cs="方正仿宋_GBK"/>
          <w:b w:val="0"/>
          <w:bCs w:val="0"/>
          <w:snapToGrid w:val="0"/>
          <w:kern w:val="0"/>
          <w:sz w:val="32"/>
          <w:szCs w:val="22"/>
          <w:highlight w:val="none"/>
          <w:lang w:val="en-US" w:eastAsia="zh-CN" w:bidi="ar-SA"/>
        </w:rPr>
        <w:t>4</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snapToGrid w:val="0"/>
          <w:kern w:val="0"/>
          <w:sz w:val="32"/>
          <w:szCs w:val="22"/>
          <w:highlight w:val="none"/>
          <w:lang w:val="en-US" w:eastAsia="zh-CN" w:bidi="ar-SA"/>
        </w:rPr>
        <w:t>中度失能人员居家组合护理服务项目。在28个项目中选择6项，其中3项由个体护理人员提供服务，另外3项由护理机构提供服务，构成6项中度失能人员居家组合护理服务项目（个体服务人员的服务项目和定点护理机构的服务项目可重复）。其中机构护理每月上门护理服务不低于5次。原则上1日内最高结算1次，因部分项目护理需要延长时间时，经待遇享受人员与定点护理机构协商一致后，可在1日内连续服务2次并按2次结算，每月连续服务2次并按2次结算不超过1回。</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方正仿宋_GBK"/>
          <w:b w:val="0"/>
          <w:bCs w:val="0"/>
          <w:snapToGrid w:val="0"/>
          <w:kern w:val="0"/>
          <w:sz w:val="32"/>
          <w:szCs w:val="22"/>
          <w:highlight w:val="none"/>
          <w:lang w:val="en-US" w:eastAsia="zh-CN" w:bidi="ar-SA"/>
        </w:rPr>
      </w:pPr>
      <w:r>
        <w:rPr>
          <w:rFonts w:hint="eastAsia" w:ascii="Times New Roman" w:hAnsi="Times New Roman" w:eastAsia="方正仿宋_GBK" w:cs="方正仿宋_GBK"/>
          <w:b w:val="0"/>
          <w:bCs w:val="0"/>
          <w:snapToGrid w:val="0"/>
          <w:kern w:val="0"/>
          <w:sz w:val="32"/>
          <w:szCs w:val="22"/>
          <w:highlight w:val="none"/>
          <w:lang w:val="en-US" w:eastAsia="zh-CN" w:bidi="ar-SA"/>
        </w:rPr>
        <w:t>5</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snapToGrid w:val="0"/>
          <w:kern w:val="0"/>
          <w:sz w:val="32"/>
          <w:szCs w:val="22"/>
          <w:highlight w:val="none"/>
          <w:lang w:val="en-US" w:eastAsia="zh-CN" w:bidi="ar-SA"/>
        </w:rPr>
        <w:t>中度失能人员机构上门护理服务项目。在28个项目中选择7项构成中度失能人员机构上门护理服务项目。每月上门护理服务不低于8次。原则上1日内最高结算1次，因部分项目护理需要延长时间时，经待遇享受人员与定点护理机构协商一致后，可在1日内连续服务2次并按2次结算，每月连续服务2次并按2次结算不超过1回。</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宋体" w:cs="Times New Roman"/>
          <w:b w:val="0"/>
          <w:bCs w:val="0"/>
          <w:snapToGrid w:val="0"/>
          <w:kern w:val="0"/>
          <w:sz w:val="21"/>
          <w:szCs w:val="24"/>
          <w:highlight w:val="none"/>
        </w:rPr>
      </w:pPr>
      <w:r>
        <w:rPr>
          <w:rFonts w:hint="eastAsia" w:ascii="Times New Roman" w:hAnsi="Times New Roman" w:eastAsia="方正仿宋_GBK" w:cs="方正仿宋_GBK"/>
          <w:b w:val="0"/>
          <w:bCs w:val="0"/>
          <w:snapToGrid w:val="0"/>
          <w:kern w:val="0"/>
          <w:sz w:val="32"/>
          <w:szCs w:val="22"/>
          <w:highlight w:val="none"/>
          <w:lang w:val="en-US" w:eastAsia="zh-CN" w:bidi="ar-SA"/>
        </w:rPr>
        <w:t>6</w:t>
      </w:r>
      <w:r>
        <w:rPr>
          <w:rFonts w:hint="eastAsia" w:ascii="Times New Roman" w:hAnsi="Times New Roman" w:eastAsia="方正仿宋_GBK" w:cs="方正仿宋_GBK"/>
          <w:b w:val="0"/>
          <w:bCs w:val="0"/>
          <w:snapToGrid w:val="0"/>
          <w:color w:val="000000"/>
          <w:kern w:val="0"/>
          <w:sz w:val="32"/>
          <w:szCs w:val="22"/>
          <w:highlight w:val="none"/>
          <w:lang w:val="en-US" w:eastAsia="zh-CN" w:bidi="ar-SA"/>
        </w:rPr>
        <w:t>．</w:t>
      </w:r>
      <w:r>
        <w:rPr>
          <w:rFonts w:hint="eastAsia" w:ascii="Times New Roman" w:hAnsi="Times New Roman" w:eastAsia="方正仿宋_GBK" w:cs="方正仿宋_GBK"/>
          <w:b w:val="0"/>
          <w:bCs w:val="0"/>
          <w:snapToGrid w:val="0"/>
          <w:kern w:val="0"/>
          <w:sz w:val="32"/>
          <w:szCs w:val="22"/>
          <w:highlight w:val="none"/>
          <w:lang w:val="en-US" w:eastAsia="zh-CN" w:bidi="ar-SA"/>
        </w:rPr>
        <w:t>中度失能人员机构集中护理服务项目。在28个项目中选择8项构成中度失能人员机构集中护理服务项目。</w:t>
      </w:r>
    </w:p>
    <w:p>
      <w:pPr>
        <w:rPr>
          <w:rFonts w:ascii="Calibri" w:hAnsi="Calibri" w:eastAsia="宋体" w:cs="Times New Roman"/>
          <w:sz w:val="21"/>
          <w:szCs w:val="22"/>
        </w:rPr>
      </w:pPr>
    </w:p>
    <w:p>
      <w:pPr>
        <w:keepNext w:val="0"/>
        <w:keepLines w:val="0"/>
        <w:pageBreakBefore w:val="0"/>
        <w:widowControl w:val="0"/>
        <w:kinsoku/>
        <w:wordWrap/>
        <w:overflowPunct/>
        <w:topLinePunct w:val="0"/>
        <w:autoSpaceDE/>
        <w:autoSpaceDN/>
        <w:bidi w:val="0"/>
        <w:adjustRightInd/>
        <w:snapToGrid w:val="0"/>
        <w:spacing w:line="144" w:lineRule="auto"/>
        <w:ind w:right="210" w:rightChars="100" w:firstLine="320" w:firstLineChars="100"/>
        <w:jc w:val="both"/>
        <w:textAlignment w:val="auto"/>
        <w:rPr>
          <w:rFonts w:ascii="Calibri" w:hAnsi="Calibri" w:eastAsia="方正仿宋_GBK" w:cs="方正仿宋_GBK"/>
          <w:vanish/>
          <w:kern w:val="2"/>
          <w:sz w:val="32"/>
          <w:szCs w:val="22"/>
          <w:lang w:val="zh-CN" w:eastAsia="zh-CN" w:bidi="ar-SA"/>
        </w:rPr>
      </w:pPr>
      <w:bookmarkStart w:id="2" w:name="_GoBack"/>
    </w:p>
    <w:p>
      <w:pPr>
        <w:pStyle w:val="2"/>
        <w:rPr>
          <w:rFonts w:hint="eastAsia"/>
          <w:vanish/>
        </w:rPr>
        <w:sectPr>
          <w:pgSz w:w="11906" w:h="16838"/>
          <w:pgMar w:top="1962" w:right="1474" w:bottom="1848" w:left="1587" w:header="283" w:footer="794" w:gutter="0"/>
          <w:paperSrc/>
          <w:pgNumType w:fmt="numberInDash"/>
          <w:cols w:space="0" w:num="1"/>
          <w:rtlGutter w:val="0"/>
          <w:docGrid w:type="lines" w:linePitch="475" w:charSpace="0"/>
        </w:sect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方正仿宋_GBK" w:hAnsi="方正仿宋_GBK" w:eastAsia="方正仿宋_GBK" w:cs="方正仿宋_GBK"/>
          <w:vanish/>
          <w:color w:val="auto"/>
          <w:kern w:val="0"/>
          <w:sz w:val="32"/>
          <w:szCs w:val="32"/>
          <w:shd w:val="clear" w:color="auto" w:fill="FFFFFF"/>
          <w:lang w:val="en-US" w:eastAsia="zh-CN" w:bidi="ar-SA"/>
        </w:rPr>
        <w:sectPr>
          <w:footerReference r:id="rId5" w:type="default"/>
          <w:pgSz w:w="11906" w:h="16838"/>
          <w:pgMar w:top="1474" w:right="1984" w:bottom="1587" w:left="2098" w:header="283" w:footer="794" w:gutter="0"/>
          <w:paperSrc/>
          <w:pgNumType w:fmt="numberInDash"/>
          <w:cols w:space="0" w:num="1"/>
          <w:rtlGutter w:val="0"/>
          <w:docGrid w:type="lines" w:linePitch="475" w:charSpace="0"/>
        </w:sectPr>
      </w:pPr>
    </w:p>
    <w:p>
      <w:pPr>
        <w:pStyle w:val="2"/>
        <w:rPr>
          <w:rFonts w:hint="eastAsia"/>
          <w:vanish/>
          <w:lang w:val="en-US" w:eastAsia="zh-CN"/>
        </w:rPr>
      </w:pPr>
    </w:p>
    <w:p>
      <w:pPr>
        <w:rPr>
          <w:rFonts w:hint="eastAsia"/>
          <w:vanish/>
          <w:lang w:val="en-US" w:eastAsia="zh-CN"/>
        </w:rPr>
      </w:pPr>
    </w:p>
    <w:p>
      <w:pPr>
        <w:pStyle w:val="2"/>
        <w:rPr>
          <w:rFonts w:hint="eastAsia"/>
          <w:vanish/>
          <w:lang w:val="en-US" w:eastAsia="zh-CN"/>
        </w:rPr>
      </w:pPr>
    </w:p>
    <w:p>
      <w:pPr>
        <w:rPr>
          <w:rFonts w:hint="eastAsia"/>
          <w:vanish/>
          <w:lang w:val="en-US" w:eastAsia="zh-CN"/>
        </w:rPr>
        <w:sectPr>
          <w:pgSz w:w="11906" w:h="16838"/>
          <w:pgMar w:top="1474" w:right="1984" w:bottom="1587" w:left="2098" w:header="283" w:footer="794" w:gutter="0"/>
          <w:paperSrc/>
          <w:pgNumType w:fmt="numberInDash"/>
          <w:cols w:space="0" w:num="1"/>
          <w:rtlGutter w:val="0"/>
          <w:docGrid w:type="lines" w:linePitch="475" w:charSpace="0"/>
        </w:sectPr>
      </w:pPr>
    </w:p>
    <w:p>
      <w:pPr>
        <w:pStyle w:val="2"/>
        <w:rPr>
          <w:rFonts w:hint="eastAsia"/>
          <w:vanish/>
          <w:lang w:val="en-US" w:eastAsia="zh-CN"/>
        </w:rPr>
        <w:sectPr>
          <w:pgSz w:w="11906" w:h="16838"/>
          <w:pgMar w:top="1474" w:right="1984" w:bottom="1587" w:left="2098" w:header="283" w:footer="794" w:gutter="0"/>
          <w:paperSrc/>
          <w:pgNumType w:fmt="numberInDash"/>
          <w:cols w:space="0" w:num="1"/>
          <w:rtlGutter w:val="0"/>
          <w:docGrid w:type="lines" w:linePitch="475" w:charSpace="0"/>
        </w:sectPr>
      </w:pPr>
    </w:p>
    <w:p>
      <w:pPr>
        <w:rPr>
          <w:rFonts w:hint="eastAsia"/>
          <w:vanish/>
          <w:lang w:val="en-US" w:eastAsia="zh-CN"/>
        </w:rPr>
      </w:pPr>
    </w:p>
    <w:p>
      <w:pPr>
        <w:rPr>
          <w:rFonts w:ascii="Times New Roman" w:hAnsi="Times New Roman"/>
          <w:vanish/>
          <w:szCs w:val="24"/>
        </w:rPr>
      </w:pPr>
      <w:r>
        <w:rPr>
          <w:rFonts w:hint="eastAsia" w:ascii="Times New Roman" w:hAnsi="Times New Roman" w:eastAsia="仿宋_GB2312" w:cs="Times New Roman"/>
          <w:vanish/>
          <w:sz w:val="32"/>
          <w:szCs w:val="32"/>
        </w:rPr>
        <w:br w:type="page"/>
      </w: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keepNext/>
        <w:keepLines/>
        <w:widowControl w:val="0"/>
        <w:spacing w:before="340" w:after="330" w:line="578" w:lineRule="auto"/>
        <w:jc w:val="both"/>
        <w:outlineLvl w:val="0"/>
        <w:rPr>
          <w:rFonts w:hint="eastAsia" w:ascii="Times New Roman" w:hAnsi="Times New Roman" w:eastAsia="宋体" w:cs="Times New Roman"/>
          <w:b/>
          <w:bCs/>
          <w:vanish/>
          <w:kern w:val="44"/>
          <w:sz w:val="44"/>
          <w:szCs w:val="44"/>
          <w:lang w:val="en-US" w:eastAsia="zh-CN" w:bidi="ar-SA"/>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jc w:val="right"/>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snapToGrid w:val="0"/>
        <w:spacing w:line="15" w:lineRule="auto"/>
        <w:rPr>
          <w:rFonts w:ascii="Times New Roman" w:hAnsi="Times New Roman" w:eastAsia="仿宋_GB2312" w:cs="Times New Roman"/>
          <w:vanish/>
          <w:sz w:val="32"/>
          <w:szCs w:val="32"/>
        </w:rPr>
      </w:pPr>
    </w:p>
    <w:p>
      <w:pPr>
        <w:rPr>
          <w:rFonts w:hint="eastAsia" w:ascii="Times New Roman" w:hAnsi="Times New Roman" w:eastAsia="仿宋_GB2312" w:cs="Times New Roman"/>
          <w:vanish/>
          <w:sz w:val="32"/>
          <w:szCs w:val="3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jc w:val="right"/>
        <w:rPr>
          <w:rFonts w:eastAsia="宋体" w:cs="Times New Roman"/>
          <w:vanish/>
          <w:sz w:val="21"/>
          <w:szCs w:val="22"/>
        </w:rPr>
      </w:pPr>
      <w:bookmarkStart w:id="1" w:name="公章"/>
      <w:bookmarkEnd w:id="1"/>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ascii="方正仿宋_GBK" w:eastAsia="方正仿宋_GBK" w:cs="Times New Roman"/>
          <w:vanish/>
          <w:sz w:val="21"/>
          <w:szCs w:val="22"/>
        </w:rPr>
      </w:pPr>
    </w:p>
    <w:p>
      <w:pPr>
        <w:rPr>
          <w:rFonts w:eastAsia="宋体" w:cs="Times New Roman"/>
          <w:vanish/>
          <w:sz w:val="21"/>
          <w:szCs w:val="24"/>
        </w:rPr>
      </w:pPr>
    </w:p>
    <w:p>
      <w:pPr>
        <w:rPr>
          <w:vanish/>
        </w:rPr>
      </w:pPr>
    </w:p>
    <w:p>
      <w:pPr>
        <w:rPr>
          <w:vanish/>
        </w:rPr>
      </w:pPr>
    </w:p>
    <w:p>
      <w:pPr>
        <w:rPr>
          <w:vanish/>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rPr>
          <w:vanish/>
        </w:rPr>
      </w:pPr>
    </w:p>
    <w:p>
      <w:pPr>
        <w:rPr>
          <w:vanish/>
        </w:rPr>
      </w:pPr>
    </w:p>
    <w:p>
      <w:pPr>
        <w:rPr>
          <w:vanish/>
        </w:rPr>
      </w:pPr>
    </w:p>
    <w:p>
      <w:pPr>
        <w:rPr>
          <w:vanish/>
        </w:rPr>
      </w:pPr>
    </w:p>
    <w:p>
      <w:pPr>
        <w:rPr>
          <w:vanish/>
        </w:rPr>
      </w:pPr>
    </w:p>
    <w:bookmarkEnd w:id="2"/>
    <w:sectPr>
      <w:pgSz w:w="11906" w:h="16838"/>
      <w:pgMar w:top="1474" w:right="1984" w:bottom="1587" w:left="2098" w:header="283" w:footer="794" w:gutter="0"/>
      <w:paperSrc/>
      <w:pgNumType w:fmt="numberInDash"/>
      <w:cols w:space="0" w:num="1"/>
      <w:rtlGutter w:val="0"/>
      <w:docGrid w:type="lines" w:linePitch="47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- 4 -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- 4 -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238"/>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7161EE"/>
    <w:rsid w:val="0373439E"/>
    <w:rsid w:val="05E13F99"/>
    <w:rsid w:val="06107982"/>
    <w:rsid w:val="069B5865"/>
    <w:rsid w:val="08FE7C34"/>
    <w:rsid w:val="09013BBB"/>
    <w:rsid w:val="09C724A7"/>
    <w:rsid w:val="0B195B80"/>
    <w:rsid w:val="14343F9C"/>
    <w:rsid w:val="16D81DB6"/>
    <w:rsid w:val="174775C1"/>
    <w:rsid w:val="19F26BB1"/>
    <w:rsid w:val="1A7754F8"/>
    <w:rsid w:val="1B0753E2"/>
    <w:rsid w:val="1B4E30E0"/>
    <w:rsid w:val="1C03787B"/>
    <w:rsid w:val="1F66431E"/>
    <w:rsid w:val="1F6B6086"/>
    <w:rsid w:val="1FF2314D"/>
    <w:rsid w:val="21827243"/>
    <w:rsid w:val="250948EB"/>
    <w:rsid w:val="261C1009"/>
    <w:rsid w:val="26FE3319"/>
    <w:rsid w:val="27851AC3"/>
    <w:rsid w:val="2B1D7252"/>
    <w:rsid w:val="2B372E74"/>
    <w:rsid w:val="2BC52E85"/>
    <w:rsid w:val="2C0679BF"/>
    <w:rsid w:val="2CC63B0D"/>
    <w:rsid w:val="2DEC6BE5"/>
    <w:rsid w:val="2E593E6B"/>
    <w:rsid w:val="2FBD190A"/>
    <w:rsid w:val="314372AE"/>
    <w:rsid w:val="31667E06"/>
    <w:rsid w:val="324E1D58"/>
    <w:rsid w:val="32DA5548"/>
    <w:rsid w:val="335B486B"/>
    <w:rsid w:val="369E4EAA"/>
    <w:rsid w:val="3CC11305"/>
    <w:rsid w:val="3E4C7C05"/>
    <w:rsid w:val="3E8C7CCF"/>
    <w:rsid w:val="3FBA347C"/>
    <w:rsid w:val="40CB1594"/>
    <w:rsid w:val="43350544"/>
    <w:rsid w:val="44897362"/>
    <w:rsid w:val="44BE37CF"/>
    <w:rsid w:val="45A537EA"/>
    <w:rsid w:val="464D005F"/>
    <w:rsid w:val="4A280732"/>
    <w:rsid w:val="4A9F2515"/>
    <w:rsid w:val="4D3B4FB8"/>
    <w:rsid w:val="4D627DB3"/>
    <w:rsid w:val="4E5F467B"/>
    <w:rsid w:val="53AD1103"/>
    <w:rsid w:val="54E36229"/>
    <w:rsid w:val="554B02CC"/>
    <w:rsid w:val="580C22FF"/>
    <w:rsid w:val="58725B91"/>
    <w:rsid w:val="589B50B4"/>
    <w:rsid w:val="59312802"/>
    <w:rsid w:val="5BEE4C02"/>
    <w:rsid w:val="5BFF151F"/>
    <w:rsid w:val="5F78236B"/>
    <w:rsid w:val="602461BE"/>
    <w:rsid w:val="6314426C"/>
    <w:rsid w:val="67951754"/>
    <w:rsid w:val="699A3F3C"/>
    <w:rsid w:val="6CF5407A"/>
    <w:rsid w:val="6FAC2205"/>
    <w:rsid w:val="7874644F"/>
    <w:rsid w:val="791E0F5E"/>
    <w:rsid w:val="7B1A16F5"/>
    <w:rsid w:val="7CCA0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3"/>
    <w:semiHidden/>
    <w:unhideWhenUsed/>
    <w:qFormat/>
    <w:uiPriority w:val="99"/>
    <w:pPr>
      <w:jc w:val="center"/>
    </w:pPr>
    <w:rPr>
      <w:lang w:val="zh-CN"/>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Balloon Text"/>
    <w:basedOn w:val="1"/>
    <w:link w:val="14"/>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kern w:val="0"/>
      <w:sz w:val="18"/>
      <w:szCs w:val="18"/>
      <w:lang w:val="zh-CN"/>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semiHidden/>
    <w:qFormat/>
    <w:uiPriority w:val="99"/>
    <w:rPr>
      <w:kern w:val="2"/>
      <w:sz w:val="21"/>
      <w:szCs w:val="22"/>
    </w:rPr>
  </w:style>
  <w:style w:type="character" w:customStyle="1" w:styleId="13">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4">
    <w:name w:val="批注框文本 Char"/>
    <w:basedOn w:val="9"/>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1</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2025-05-22T06:21:25Z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1FEAD07A4177464D91DD1100E4DB55B0</vt:lpwstr>
  </property>
</Properties>
</file>