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方正小标宋_GBK" w:hAnsi="方正小标宋_GBK" w:eastAsia="方正小标宋_GBK" w:cs="方正小标宋_GBK"/>
          <w:spacing w:val="-6"/>
          <w:sz w:val="44"/>
          <w:szCs w:val="44"/>
        </w:rPr>
      </w:pPr>
      <w:r>
        <w:rPr>
          <w:rFonts w:hint="eastAsia" w:ascii="Times New Roman" w:hAnsi="Times New Roman" w:eastAsia="方正仿宋_GBK" w:cs="方正仿宋_GBK"/>
          <w:sz w:val="32"/>
          <w:szCs w:val="32"/>
        </w:rPr>
        <w:t xml:space="preserve">   </w:t>
      </w:r>
    </w:p>
    <w:p>
      <w:pPr>
        <w:spacing w:line="460" w:lineRule="exact"/>
        <w:jc w:val="center"/>
        <w:rPr>
          <w:rFonts w:eastAsia="方正小标宋_GBK" w:cs="Times New Roman"/>
          <w:sz w:val="40"/>
          <w:szCs w:val="40"/>
        </w:rPr>
      </w:pPr>
    </w:p>
    <w:p>
      <w:pPr>
        <w:spacing w:line="460" w:lineRule="exact"/>
        <w:jc w:val="center"/>
        <w:rPr>
          <w:rFonts w:eastAsia="方正小标宋_GBK" w:cs="Times New Roman"/>
          <w:sz w:val="40"/>
          <w:szCs w:val="40"/>
        </w:rPr>
      </w:pPr>
    </w:p>
    <w:p>
      <w:pPr>
        <w:spacing w:line="80" w:lineRule="exact"/>
        <w:jc w:val="center"/>
        <w:rPr>
          <w:rFonts w:eastAsia="方正仿宋简体" w:cs="Times New Roman"/>
          <w:sz w:val="34"/>
          <w:szCs w:val="34"/>
        </w:rPr>
      </w:pPr>
    </w:p>
    <w:p>
      <w:pPr>
        <w:autoSpaceDE w:val="0"/>
        <w:autoSpaceDN w:val="0"/>
        <w:adjustRightInd w:val="0"/>
        <w:spacing w:line="640" w:lineRule="exact"/>
        <w:jc w:val="center"/>
        <w:rPr>
          <w:rFonts w:ascii="方正小标宋_GBK" w:eastAsia="方正小标宋_GBK" w:cs="Calibri"/>
          <w:kern w:val="0"/>
          <w:sz w:val="44"/>
          <w:szCs w:val="44"/>
        </w:rPr>
      </w:pPr>
      <w:bookmarkStart w:id="0" w:name="quanwen"/>
      <w:r>
        <w:rPr>
          <w:rFonts w:hint="eastAsia" w:ascii="方正小标宋_GBK" w:eastAsia="方正小标宋_GBK" w:cs="宋体"/>
          <w:kern w:val="0"/>
          <w:sz w:val="44"/>
          <w:szCs w:val="44"/>
          <w:lang w:val="zh-CN"/>
        </w:rPr>
        <w:t>重庆市医疗保障局</w:t>
      </w:r>
    </w:p>
    <w:p>
      <w:pPr>
        <w:autoSpaceDE w:val="0"/>
        <w:autoSpaceDN w:val="0"/>
        <w:adjustRightInd w:val="0"/>
        <w:spacing w:line="640" w:lineRule="exact"/>
        <w:jc w:val="center"/>
        <w:rPr>
          <w:rFonts w:ascii="方正小标宋_GBK" w:eastAsia="方正小标宋_GBK" w:cs="Calibri"/>
          <w:kern w:val="0"/>
          <w:sz w:val="44"/>
          <w:szCs w:val="44"/>
        </w:rPr>
      </w:pPr>
      <w:r>
        <w:rPr>
          <w:rFonts w:hint="eastAsia" w:ascii="方正小标宋_GBK" w:eastAsia="方正小标宋_GBK" w:cs="宋体"/>
          <w:kern w:val="0"/>
          <w:sz w:val="44"/>
          <w:szCs w:val="44"/>
          <w:lang w:val="zh-CN"/>
        </w:rPr>
        <w:t>关于废止部分行政规范性文件的通知</w:t>
      </w: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cs="Times New Roman"/>
          <w:sz w:val="32"/>
          <w:szCs w:val="32"/>
        </w:rPr>
        <w:t>2025</w:t>
      </w:r>
      <w:r>
        <w:rPr>
          <w:rFonts w:hint="eastAsia" w:eastAsia="方正仿宋_GBK" w:cs="方正仿宋_GBK"/>
          <w:sz w:val="32"/>
          <w:szCs w:val="32"/>
        </w:rPr>
        <w:t>〕</w:t>
      </w:r>
      <w:r>
        <w:rPr>
          <w:rFonts w:ascii="Times New Roman" w:hAnsi="Times New Roman" w:eastAsia="方正仿宋_GBK" w:cs="Times New Roman"/>
          <w:sz w:val="32"/>
          <w:szCs w:val="32"/>
        </w:rPr>
        <w:t>34</w:t>
      </w:r>
      <w:r>
        <w:rPr>
          <w:rFonts w:hint="eastAsia" w:eastAsia="方正仿宋_GBK" w:cs="方正仿宋_GBK"/>
          <w:sz w:val="32"/>
          <w:szCs w:val="32"/>
        </w:rPr>
        <w:t>号</w:t>
      </w:r>
    </w:p>
    <w:p>
      <w:pPr>
        <w:autoSpaceDE w:val="0"/>
        <w:autoSpaceDN w:val="0"/>
        <w:adjustRightInd w:val="0"/>
        <w:jc w:val="center"/>
        <w:rPr>
          <w:rFonts w:eastAsia="宋体" w:cs="Calibri"/>
          <w:kern w:val="0"/>
          <w:sz w:val="30"/>
          <w:szCs w:val="30"/>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各区县（自治县）医疗保障局，两江新区社会保障局、高新区政务服务和社会事务中心、万盛经开区医疗保障局，局机关各处室、局属事业单位，有关单位：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根据《重庆市行政规范性文件管理办法》（重庆市人民政府令第329号）规定，经中共重庆市医疗保障局党组2025年第23次会议集体审议通过，决定将《重庆市医疗保障局关于印发《重庆市长期护理保险协议护理服务机构协议管理办法（试行）》的通知》（渝医保发〔2018〕17号）等3件行政行政规范性文件予以废止（具体文件目录见附件）。</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 xml:space="preserve">    本通知自印发之日起执行。</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Times New Roman" w:hAnsi="Times New Roman" w:eastAsia="方正仿宋_GBK" w:cs="宋体"/>
          <w:snapToGrid w:val="0"/>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附件：废止的行政规范性文件目录（3件）</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方正仿宋_GBK" w:cs="宋体"/>
          <w:snapToGrid w:val="0"/>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方正仿宋_GBK" w:cs="宋体"/>
          <w:snapToGrid w:val="0"/>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600" w:lineRule="exact"/>
        <w:ind w:right="840" w:rightChars="400" w:firstLine="0" w:firstLineChars="0"/>
        <w:jc w:val="right"/>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 xml:space="preserve">                            重庆市医疗保障局</w:t>
      </w:r>
    </w:p>
    <w:p>
      <w:pPr>
        <w:keepNext w:val="0"/>
        <w:keepLines w:val="0"/>
        <w:pageBreakBefore w:val="0"/>
        <w:widowControl w:val="0"/>
        <w:kinsoku/>
        <w:wordWrap/>
        <w:overflowPunct/>
        <w:topLinePunct w:val="0"/>
        <w:autoSpaceDE/>
        <w:autoSpaceDN/>
        <w:bidi w:val="0"/>
        <w:adjustRightInd/>
        <w:snapToGrid w:val="0"/>
        <w:spacing w:line="600" w:lineRule="exact"/>
        <w:ind w:right="840" w:rightChars="400" w:firstLine="0" w:firstLineChars="0"/>
        <w:jc w:val="right"/>
        <w:textAlignment w:val="auto"/>
        <w:rPr>
          <w:rFonts w:ascii="Times New Roman" w:hAnsi="Times New Roman" w:eastAsia="方正仿宋_GBK" w:cs="宋体"/>
          <w:snapToGrid w:val="0"/>
          <w:kern w:val="0"/>
          <w:sz w:val="32"/>
          <w:szCs w:val="32"/>
          <w:lang w:val="zh-CN"/>
        </w:rPr>
      </w:pPr>
      <w:r>
        <w:rPr>
          <w:rFonts w:hint="eastAsia" w:ascii="Times New Roman" w:hAnsi="Times New Roman" w:eastAsia="方正仿宋_GBK" w:cs="宋体"/>
          <w:snapToGrid w:val="0"/>
          <w:kern w:val="0"/>
          <w:sz w:val="32"/>
          <w:szCs w:val="32"/>
          <w:lang w:val="zh-CN"/>
        </w:rPr>
        <w:t xml:space="preserve">                        2025年8月</w:t>
      </w:r>
      <w:r>
        <w:rPr>
          <w:rFonts w:hint="default" w:ascii="Times New Roman" w:hAnsi="Times New Roman" w:eastAsia="方正仿宋_GBK" w:cs="宋体"/>
          <w:snapToGrid w:val="0"/>
          <w:kern w:val="0"/>
          <w:sz w:val="32"/>
          <w:szCs w:val="32"/>
          <w:lang w:val="en-US"/>
        </w:rPr>
        <w:t>11</w:t>
      </w:r>
      <w:r>
        <w:rPr>
          <w:rFonts w:hint="eastAsia" w:ascii="Times New Roman" w:hAnsi="Times New Roman" w:eastAsia="方正仿宋_GBK" w:cs="宋体"/>
          <w:snapToGrid w:val="0"/>
          <w:kern w:val="0"/>
          <w:sz w:val="32"/>
          <w:szCs w:val="32"/>
          <w:lang w:val="zh-CN"/>
        </w:rPr>
        <w:t>日</w:t>
      </w:r>
    </w:p>
    <w:p>
      <w:pPr>
        <w:snapToGrid w:val="0"/>
        <w:spacing w:line="600" w:lineRule="exact"/>
        <w:jc w:val="left"/>
        <w:rPr>
          <w:rFonts w:ascii="Times New Roman" w:hAnsi="Times New Roman" w:eastAsia="方正仿宋_GBK" w:cs="宋体"/>
          <w:kern w:val="0"/>
          <w:sz w:val="32"/>
          <w:szCs w:val="32"/>
          <w:lang w:val="zh-CN"/>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hint="eastAsia" w:ascii="Times New Roman" w:hAnsi="Times New Roman" w:eastAsia="方正黑体_GBK" w:cs="宋体"/>
          <w:kern w:val="0"/>
          <w:sz w:val="32"/>
          <w:szCs w:val="32"/>
        </w:rPr>
      </w:pPr>
    </w:p>
    <w:p>
      <w:pPr>
        <w:snapToGrid w:val="0"/>
        <w:spacing w:line="560" w:lineRule="exact"/>
        <w:jc w:val="left"/>
        <w:rPr>
          <w:rFonts w:ascii="Times New Roman" w:hAnsi="Times New Roman" w:eastAsia="方正黑体_GBK" w:cs="宋体"/>
          <w:kern w:val="0"/>
          <w:sz w:val="32"/>
          <w:szCs w:val="32"/>
        </w:rPr>
      </w:pPr>
      <w:bookmarkStart w:id="2" w:name="_GoBack"/>
      <w:bookmarkEnd w:id="2"/>
      <w:r>
        <w:rPr>
          <w:rFonts w:hint="eastAsia" w:ascii="Times New Roman" w:hAnsi="Times New Roman" w:eastAsia="方正黑体_GBK" w:cs="宋体"/>
          <w:kern w:val="0"/>
          <w:sz w:val="32"/>
          <w:szCs w:val="32"/>
        </w:rPr>
        <w:t>附件</w:t>
      </w:r>
    </w:p>
    <w:p>
      <w:pPr>
        <w:snapToGrid w:val="0"/>
        <w:spacing w:line="600" w:lineRule="exact"/>
        <w:jc w:val="center"/>
        <w:rPr>
          <w:rFonts w:ascii="Times New Roman" w:hAnsi="Times New Roman" w:eastAsia="方正小标宋_GBK" w:cs="宋体"/>
          <w:kern w:val="0"/>
          <w:sz w:val="44"/>
          <w:szCs w:val="44"/>
          <w:lang w:val="zh-CN"/>
        </w:rPr>
      </w:pPr>
    </w:p>
    <w:p>
      <w:pPr>
        <w:snapToGrid w:val="0"/>
        <w:spacing w:line="600" w:lineRule="exact"/>
        <w:jc w:val="center"/>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lang w:val="zh-CN"/>
        </w:rPr>
        <w:t>废止的行政规范性文件目录（3件）</w:t>
      </w:r>
    </w:p>
    <w:p>
      <w:pPr>
        <w:snapToGrid w:val="0"/>
        <w:spacing w:line="600" w:lineRule="exact"/>
        <w:jc w:val="center"/>
        <w:rPr>
          <w:rFonts w:hint="eastAsia" w:ascii="Times New Roman" w:hAnsi="Times New Roman" w:eastAsia="方正小标宋_GBK" w:cs="宋体"/>
          <w:kern w:val="0"/>
          <w:sz w:val="44"/>
          <w:szCs w:val="44"/>
          <w:lang w:val="zh-CN"/>
        </w:rPr>
      </w:pPr>
    </w:p>
    <w:tbl>
      <w:tblPr>
        <w:tblStyle w:val="8"/>
        <w:tblW w:w="5065" w:type="pct"/>
        <w:tblInd w:w="0" w:type="dxa"/>
        <w:tblLayout w:type="autofit"/>
        <w:tblCellMar>
          <w:top w:w="0" w:type="dxa"/>
          <w:left w:w="108" w:type="dxa"/>
          <w:bottom w:w="0" w:type="dxa"/>
          <w:right w:w="108" w:type="dxa"/>
        </w:tblCellMar>
      </w:tblPr>
      <w:tblGrid>
        <w:gridCol w:w="540"/>
        <w:gridCol w:w="6214"/>
        <w:gridCol w:w="2425"/>
      </w:tblGrid>
      <w:tr>
        <w:tblPrEx>
          <w:tblCellMar>
            <w:top w:w="0" w:type="dxa"/>
            <w:left w:w="108" w:type="dxa"/>
            <w:bottom w:w="0" w:type="dxa"/>
            <w:right w:w="108" w:type="dxa"/>
          </w:tblCellMar>
        </w:tblPrEx>
        <w:trPr>
          <w:trHeight w:val="285" w:hRule="atLeast"/>
        </w:trPr>
        <w:tc>
          <w:tcPr>
            <w:tcW w:w="29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hint="eastAsia"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序号</w:t>
            </w:r>
          </w:p>
        </w:tc>
        <w:tc>
          <w:tcPr>
            <w:tcW w:w="3385"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hint="eastAsia"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文件名</w:t>
            </w:r>
          </w:p>
        </w:tc>
        <w:tc>
          <w:tcPr>
            <w:tcW w:w="1321"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hint="eastAsia"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文号</w:t>
            </w:r>
          </w:p>
        </w:tc>
      </w:tr>
      <w:tr>
        <w:tblPrEx>
          <w:tblCellMar>
            <w:top w:w="0" w:type="dxa"/>
            <w:left w:w="108" w:type="dxa"/>
            <w:bottom w:w="0" w:type="dxa"/>
            <w:right w:w="108" w:type="dxa"/>
          </w:tblCellMar>
        </w:tblPrEx>
        <w:trPr>
          <w:trHeight w:val="585"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385" w:type="pct"/>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重庆市医疗保障局关于印发《重庆市长期护理保险协议护理服务机构协议管理办法（试行）》的通知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渝医保发〔2018〕17号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385" w:type="pct"/>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重庆市医疗保障局关于印发重庆市基本医疗保险按疾病诊断相关分组付费办法（试行）的通知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渝医保发〔2021〕67号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3</w:t>
            </w:r>
          </w:p>
        </w:tc>
        <w:tc>
          <w:tcPr>
            <w:tcW w:w="3385" w:type="pct"/>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重庆市医疗保障局重庆市人力资源和社会保障局关于印发《重庆市基本医疗保险、工伤保险和生育保险药品目录（2021年）》的通知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渝医保发〔2021〕76号</w:t>
            </w:r>
          </w:p>
        </w:tc>
      </w:tr>
    </w:tbl>
    <w:p>
      <w:pPr>
        <w:snapToGrid w:val="0"/>
        <w:spacing w:line="560" w:lineRule="exact"/>
        <w:jc w:val="left"/>
        <w:rPr>
          <w:rFonts w:ascii="Times New Roman" w:hAnsi="Times New Roman" w:eastAsia="方正仿宋_GBK" w:cs="宋体"/>
          <w:kern w:val="0"/>
          <w:sz w:val="32"/>
          <w:szCs w:val="32"/>
        </w:rPr>
      </w:pPr>
    </w:p>
    <w:p>
      <w:pPr>
        <w:rPr>
          <w:rFonts w:ascii="方正仿宋_GBK" w:eastAsia="方正仿宋_GBK" w:cs="Times New Roman"/>
        </w:rPr>
      </w:pPr>
    </w:p>
    <w:p>
      <w:pPr>
        <w:widowControl/>
        <w:jc w:val="left"/>
        <w:rPr>
          <w:rFonts w:ascii="方正仿宋_GBK" w:eastAsia="方正仿宋_GBK" w:cs="Times New Roman"/>
          <w:vanish/>
          <w:sz w:val="21"/>
        </w:rPr>
      </w:pPr>
      <w:r>
        <w:rPr>
          <w:rFonts w:ascii="方正仿宋_GBK" w:eastAsia="方正仿宋_GBK" w:cs="Times New Roman"/>
          <w:vanish/>
          <w:sz w:val="21"/>
        </w:rPr>
        <w:br w:type="page"/>
      </w: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p>
      <w:pPr>
        <w:spacing w:line="240" w:lineRule="exact"/>
        <w:rPr>
          <w:rFonts w:ascii="方正仿宋_GBK" w:eastAsia="方正仿宋_GBK" w:cs="Times New Roman"/>
          <w:vanish/>
          <w:sz w:val="21"/>
        </w:rPr>
      </w:pPr>
    </w:p>
    <w:bookmarkEnd w:id="0"/>
    <w:p>
      <w:pPr>
        <w:rPr>
          <w:rFonts w:ascii="方正仿宋_GBK" w:eastAsia="方正仿宋_GBK" w:cs="Times New Roman"/>
          <w:vanish/>
        </w:rPr>
      </w:pPr>
    </w:p>
    <w:p>
      <w:pPr>
        <w:rPr>
          <w:rFonts w:ascii="Times New Roman" w:hAnsi="Times New Roman" w:eastAsia="方正小标宋_GBK" w:cs="方正小标宋_GBK"/>
          <w:vanish/>
          <w:sz w:val="44"/>
          <w:szCs w:val="44"/>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jc w:val="right"/>
        <w:rPr>
          <w:rFonts w:eastAsia="宋体" w:cs="Times New Roman"/>
          <w:vanish/>
          <w:sz w:val="21"/>
        </w:rPr>
      </w:pPr>
    </w:p>
    <w:p>
      <w:pPr>
        <w:rPr>
          <w:rFonts w:eastAsia="宋体" w:cs="Times New Roman"/>
          <w:vanish/>
          <w:sz w:val="21"/>
        </w:rPr>
      </w:pPr>
    </w:p>
    <w:p>
      <w:pPr>
        <w:rPr>
          <w:rFonts w:eastAsia="宋体" w:cs="Times New Roman"/>
          <w:vanish/>
          <w:sz w:val="21"/>
        </w:rPr>
      </w:pPr>
    </w:p>
    <w:p>
      <w:pPr>
        <w:rPr>
          <w:rFonts w:eastAsia="宋体" w:cs="Times New Roman"/>
          <w:vanish/>
          <w:sz w:val="21"/>
        </w:rPr>
      </w:pPr>
    </w:p>
    <w:p>
      <w:pPr>
        <w:rPr>
          <w:rFonts w:ascii="方正仿宋_GBK" w:eastAsia="方正仿宋_GBK" w:cs="Times New Roman"/>
          <w:vanish/>
          <w:sz w:val="21"/>
        </w:rPr>
      </w:pPr>
    </w:p>
    <w:p>
      <w:pPr>
        <w:rPr>
          <w:rFonts w:eastAsia="宋体" w:cs="Times New Roman"/>
          <w:vanish/>
          <w:sz w:val="21"/>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40CB1594"/>
    <w:rsid w:val="43350544"/>
    <w:rsid w:val="44897362"/>
    <w:rsid w:val="44BE37CF"/>
    <w:rsid w:val="45A537EA"/>
    <w:rsid w:val="464D005F"/>
    <w:rsid w:val="4A280732"/>
    <w:rsid w:val="4A9F2515"/>
    <w:rsid w:val="4D3B4FB8"/>
    <w:rsid w:val="4E5F467B"/>
    <w:rsid w:val="53AD1103"/>
    <w:rsid w:val="54E36229"/>
    <w:rsid w:val="554B02CC"/>
    <w:rsid w:val="580C22FF"/>
    <w:rsid w:val="589B50B4"/>
    <w:rsid w:val="59312802"/>
    <w:rsid w:val="5BEE4C02"/>
    <w:rsid w:val="5BFF151F"/>
    <w:rsid w:val="5F78236B"/>
    <w:rsid w:val="602461BE"/>
    <w:rsid w:val="6314426C"/>
    <w:rsid w:val="699A3F3C"/>
    <w:rsid w:val="6AB518B9"/>
    <w:rsid w:val="6CF5407A"/>
    <w:rsid w:val="6FAC2205"/>
    <w:rsid w:val="7874644F"/>
    <w:rsid w:val="791E0F5E"/>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2025-08-15T03:33:16Z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2DBC3B017C3E405F9E17FD0203988D0A</vt:lpwstr>
  </property>
</Properties>
</file>