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54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54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540" w:lineRule="exact"/>
        <w:jc w:val="center"/>
        <w:rPr>
          <w:rFonts w:eastAsia="方正小标宋_GBK"/>
          <w:w w:val="40"/>
          <w:sz w:val="40"/>
          <w:szCs w:val="40"/>
        </w:rPr>
      </w:pPr>
    </w:p>
    <w:p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</w:p>
    <w:p>
      <w:pPr>
        <w:spacing w:line="460" w:lineRule="exact"/>
        <w:jc w:val="center"/>
        <w:rPr>
          <w:rFonts w:ascii="Calibri" w:hAnsi="Calibri" w:eastAsia="方正小标宋_GBK" w:cs="Times New Roman"/>
          <w:sz w:val="40"/>
          <w:szCs w:val="40"/>
        </w:rPr>
      </w:pPr>
    </w:p>
    <w:p>
      <w:pPr>
        <w:spacing w:line="460" w:lineRule="exact"/>
        <w:jc w:val="center"/>
        <w:rPr>
          <w:rFonts w:ascii="Calibri" w:hAnsi="Calibri" w:eastAsia="方正小标宋_GBK" w:cs="Times New Roman"/>
          <w:sz w:val="40"/>
          <w:szCs w:val="40"/>
        </w:rPr>
      </w:pPr>
    </w:p>
    <w:p>
      <w:pPr>
        <w:pStyle w:val="3"/>
        <w:rPr>
          <w:rFonts w:ascii="Calibri" w:hAnsi="Calibri" w:eastAsia="方正小标宋_GBK" w:cs="Times New Roman"/>
          <w:sz w:val="21"/>
          <w:szCs w:val="22"/>
        </w:rPr>
      </w:pPr>
    </w:p>
    <w:p>
      <w:pPr>
        <w:spacing w:line="80" w:lineRule="exact"/>
        <w:jc w:val="center"/>
        <w:rPr>
          <w:rFonts w:ascii="Calibri" w:hAnsi="Calibri" w:eastAsia="方正仿宋简体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  <w:lang w:val="en-US" w:eastAsia="zh-CN" w:bidi="ar-SA"/>
        </w:rPr>
      </w:pPr>
      <w:bookmarkStart w:id="0" w:name="quanwen"/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重庆市医疗保障局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9"/>
        <w:rPr>
          <w:rFonts w:hint="default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重庆市财政局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国家税务总局重庆市税务局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9"/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关于做好202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年城乡居民基本医疗保障工作的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渝医保发〔202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pacing w:val="0"/>
          <w:kern w:val="44"/>
          <w:sz w:val="32"/>
          <w:szCs w:val="32"/>
          <w:highlight w:val="none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pacing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44"/>
          <w:sz w:val="32"/>
          <w:szCs w:val="32"/>
          <w:highlight w:val="none"/>
          <w:lang w:val="en-US" w:eastAsia="zh-CN" w:bidi="ar-SA"/>
        </w:rPr>
        <w:t>各区县（自治县）医疗保障局、财政局、税务局，两江新区社会保障局、财政局，高新区政务服务和社会事务中心、财政局，万盛经开区人力社保局、财政局：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根据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《国务院办公厅关于健全基本医疗保险参保长效机制的指导意见》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国办发〔20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《国家医保局财政部国家税务总局关于做好202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年城乡居民基本医疗保障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工作的通知》（医保发〔202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号）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和《重庆市人民政府办公厅关于印发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highlight w:val="none"/>
          <w:lang w:val="en-US" w:eastAsia="zh-CN"/>
        </w:rPr>
        <w:t>〈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重庆市健全基本医疗保险参保长效机制实施方案</w:t>
      </w:r>
      <w:r>
        <w:rPr>
          <w:rFonts w:hint="eastAsia" w:ascii="Times New Roman" w:hAnsi="Times New Roman" w:eastAsia="方正仿宋_GBK" w:cs="方正仿宋_GBK"/>
          <w:b w:val="0"/>
          <w:bCs/>
          <w:spacing w:val="0"/>
          <w:sz w:val="32"/>
          <w:szCs w:val="32"/>
          <w:highlight w:val="none"/>
          <w:lang w:val="en-US" w:eastAsia="zh-CN"/>
        </w:rPr>
        <w:t>〉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的通知》（渝府办发〔2025〕35 号）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精神，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现就做好城乡居民基本医疗保险（以下简称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居民医保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）筹资和待遇保障等有关工作通知如下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一、明确参保筹资标准和集中缴费期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继续加大财政对居民医保的补助力度。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按照国家要求，2025年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居民医保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人均财政补助标准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较上年增加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30元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达到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700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元/人·年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市级财政按规定结合中央财政资金对各区县（自治县）实行分档补助。各区县财政按规定足额安排本级财政补助资金，并及时拨付到位。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合理确定个人缴费水平。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参加我市202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居民医保个人缴费标准为一档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元/人·年、二档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元/人·年。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做好高校学生医疗保障工作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在渝高校大学生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含全日制研究生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参加居民医保个人缴费标准为一档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元/人·年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二档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775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元/人·年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推动个人缴费与居民人均可支配收入相匹配。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鼓励乡村集体经济组织按规定对农民参保缴费给予资助。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集中参保缴费期为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24"/>
          <w:highlight w:val="non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24"/>
          <w:highlight w:val="none"/>
          <w:lang w:val="en-US" w:eastAsia="zh-CN"/>
        </w:rPr>
        <w:t>印</w:t>
      </w:r>
      <w:r>
        <w:rPr>
          <w:rFonts w:hint="default" w:ascii="Times New Roman" w:hAnsi="Times New Roman" w:eastAsia="方正仿宋_GBK" w:cs="Times New Roman"/>
          <w:spacing w:val="0"/>
          <w:sz w:val="32"/>
          <w:szCs w:val="24"/>
          <w:highlight w:val="none"/>
          <w:lang w:val="en-US" w:eastAsia="zh-CN"/>
        </w:rPr>
        <w:t>发之日起</w:t>
      </w:r>
      <w:r>
        <w:rPr>
          <w:rFonts w:hint="default" w:ascii="Times New Roman" w:hAnsi="Times New Roman" w:eastAsia="方正仿宋_GBK" w:cs="Times New Roman"/>
          <w:spacing w:val="0"/>
          <w:sz w:val="32"/>
          <w:szCs w:val="24"/>
          <w:highlight w:val="none"/>
        </w:rPr>
        <w:t>至</w:t>
      </w:r>
      <w:r>
        <w:rPr>
          <w:rFonts w:hint="default" w:ascii="Times New Roman" w:hAnsi="Times New Roman" w:eastAsia="方正仿宋_GBK" w:cs="Times New Roman"/>
          <w:spacing w:val="0"/>
          <w:sz w:val="32"/>
          <w:szCs w:val="2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24"/>
          <w:highlight w:val="none"/>
          <w:lang w:val="en-US" w:eastAsia="zh-CN"/>
        </w:rPr>
        <w:t>2月底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在2025年12月底前参保缴费的，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连续参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保人员从2026年1月开始享受待遇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，未连续参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保人员从2026年1月开始计算待遇等待期；在2026年1月至2月参保缴费的，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连续参保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人员从参保缴费的次月1日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起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享受待遇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，未连续参保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人员从参保缴费的次日起开始计算待遇等待期。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spacing w:val="0"/>
          <w:sz w:val="32"/>
          <w:szCs w:val="32"/>
          <w:highlight w:val="none"/>
          <w:lang w:eastAsia="zh-CN"/>
        </w:rPr>
        <w:t>二、巩固完善待遇</w:t>
      </w:r>
      <w:r>
        <w:rPr>
          <w:rFonts w:hint="eastAsia" w:ascii="Times New Roman" w:hAnsi="Times New Roman" w:eastAsia="方正黑体_GBK" w:cs="Times New Roman"/>
          <w:snapToGrid w:val="0"/>
          <w:spacing w:val="0"/>
          <w:sz w:val="32"/>
          <w:szCs w:val="32"/>
          <w:highlight w:val="none"/>
          <w:lang w:eastAsia="zh-CN"/>
        </w:rPr>
        <w:t>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坚持尽力而为、量力而行，巩固基本医疗保障水平。继续巩固住院保障水平，政策范围内基金支付比例稳定在70%左右。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val="en-US" w:eastAsia="zh-CN" w:bidi="ar-SA"/>
        </w:rPr>
        <w:t>参加我市居民医保的孕产妇</w:t>
      </w:r>
      <w:r>
        <w:rPr>
          <w:rFonts w:hint="default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val="en-US" w:eastAsia="zh-CN" w:bidi="ar-SA"/>
        </w:rPr>
        <w:t>门诊发生的计划生育手术费纳入居民医保</w:t>
      </w:r>
      <w:r>
        <w:rPr>
          <w:rFonts w:hint="default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eastAsia="zh-CN" w:bidi="ar-SA"/>
        </w:rPr>
        <w:t>普通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val="en-US" w:eastAsia="zh-CN" w:bidi="ar-SA"/>
        </w:rPr>
        <w:t>门诊统筹报销</w:t>
      </w:r>
      <w:r>
        <w:rPr>
          <w:rFonts w:hint="default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eastAsia="zh-CN" w:bidi="ar-SA"/>
        </w:rPr>
        <w:t>，住院发生的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val="en-US" w:eastAsia="zh-CN" w:bidi="ar-SA"/>
        </w:rPr>
        <w:t>剖宫产、生育并发症、合并症、终止妊娠医疗费用按照</w:t>
      </w:r>
      <w:r>
        <w:rPr>
          <w:rFonts w:hint="default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eastAsia="zh-CN" w:bidi="ar-SA"/>
        </w:rPr>
        <w:t>居民医保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val="en-US" w:eastAsia="zh-CN" w:bidi="ar-SA"/>
        </w:rPr>
        <w:t>住院政策报销</w:t>
      </w:r>
      <w:r>
        <w:rPr>
          <w:rFonts w:hint="default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参加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居民医保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即自动参加大病保险，保费从统筹基金划转，个人无需缴费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</w:rPr>
        <w:t>从202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</w:rPr>
        <w:t>年1月1日起，大病保险起付线调整为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  <w:lang w:val="en-US" w:eastAsia="zh-CN"/>
        </w:rPr>
        <w:t>19856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</w:rPr>
        <w:t>大病保险继续对特困人员、低保对象和返贫致贫人口实施倾斜支付政策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24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三、落实参保激励约束机制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自2025年起，对连续参加居民医保满4年的参保人员，之后每连续参保缴费1年，提高居民大病保险最高支付限额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。对当年医保基金零报销且于次年正常参保缴费的居民医保参保人员，次年提高大病保险最高支付限额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除新生儿等特殊群体外，对未在居民医保集中缴费期参保缴费或未连续参保缴费的人员，设置参保缴费后固定待遇等待期3个月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其中，未连续参保缴费的，每多断保1年，在固定待遇等待期基础上增加1个月待遇等待期。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"/>
        </w:rPr>
        <w:t>四、夯实医疗救助托底保障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做好过渡期巩固拓展脱贫攻坚成果收官工作，守牢不发生规模性返贫底线。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按规定落实好医疗救助分类资助参保政策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统筹发挥基本医保、大病保险、医疗救助三重制度综合保障梯次减负功能，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有条件的地区可根据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实际情况加大倾斜救助力度。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做好与民政、农业农村、税务等部门信息共享，把做好农村低收入人口和脱贫人口参保工作摆在突出位置，细化医保综合帮扶措施，优化困难群众就医服务管理，开展高额医疗费用负担患者监测预警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协同相关部门做好监测帮扶。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方正黑体_GBK" w:cs="Times New Roman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五、全力推进参保工作落细落实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优化精准参保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val="en-US" w:eastAsia="zh-CN"/>
        </w:rPr>
        <w:t>扩面措施，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做好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全民参保一件事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应用数据共享全市贯通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44"/>
          <w:sz w:val="32"/>
          <w:szCs w:val="32"/>
          <w:lang w:val="en-US" w:eastAsia="zh-CN" w:bidi="ar-SA"/>
        </w:rPr>
        <w:t>，完善“一人一档”参保数据库，为做好全民参保工作提供有力支撑。</w:t>
      </w:r>
      <w:bookmarkStart w:id="1" w:name="OLE_LINK1"/>
      <w:r>
        <w:rPr>
          <w:rFonts w:hint="eastAsia" w:ascii="Times New Roman" w:hAnsi="Times New Roman" w:eastAsia="方正仿宋_GBK" w:cs="Times New Roman"/>
          <w:snapToGrid w:val="0"/>
          <w:spacing w:val="0"/>
          <w:sz w:val="32"/>
          <w:szCs w:val="32"/>
          <w:lang w:eastAsia="zh-CN"/>
        </w:rPr>
        <w:t>聚焦学龄前儿童、中小学生、大学生、新业态从业人员等重点人群，协同相关部门在高频活动场所精准开展参保动员。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优化参保缴费服务，</w:t>
      </w:r>
      <w:r>
        <w:rPr>
          <w:rFonts w:hint="eastAsia" w:ascii="Times New Roman" w:hAnsi="Times New Roman" w:eastAsia="方正仿宋_GBK" w:cs="Times New Roman"/>
          <w:snapToGrid w:val="0"/>
          <w:spacing w:val="0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方正仿宋_GBK" w:cs="Times New Roman"/>
          <w:snapToGrid w:val="0"/>
          <w:spacing w:val="0"/>
          <w:sz w:val="32"/>
          <w:szCs w:val="32"/>
        </w:rPr>
        <w:t>新生儿</w:t>
      </w:r>
      <w:r>
        <w:rPr>
          <w:rFonts w:hint="eastAsia" w:ascii="Times New Roman" w:hAnsi="Times New Roman" w:eastAsia="方正仿宋_GBK" w:cs="Times New Roman"/>
          <w:snapToGrid w:val="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napToGrid w:val="0"/>
          <w:spacing w:val="0"/>
          <w:sz w:val="32"/>
          <w:szCs w:val="32"/>
          <w:lang w:val="en-US" w:eastAsia="zh-CN"/>
        </w:rPr>
        <w:t>出生即</w:t>
      </w:r>
      <w:r>
        <w:rPr>
          <w:rFonts w:hint="default" w:ascii="Times New Roman" w:hAnsi="Times New Roman" w:eastAsia="方正仿宋_GBK" w:cs="Times New Roman"/>
          <w:snapToGrid w:val="0"/>
          <w:spacing w:val="0"/>
          <w:sz w:val="32"/>
          <w:szCs w:val="32"/>
        </w:rPr>
        <w:t>参保</w:t>
      </w:r>
      <w:r>
        <w:rPr>
          <w:rFonts w:hint="eastAsia" w:ascii="Times New Roman" w:hAnsi="Times New Roman" w:eastAsia="方正仿宋_GBK" w:cs="Times New Roman"/>
          <w:snapToGrid w:val="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spacing w:val="0"/>
          <w:sz w:val="32"/>
          <w:szCs w:val="32"/>
        </w:rPr>
        <w:t>服务工作</w:t>
      </w:r>
      <w:r>
        <w:rPr>
          <w:rFonts w:hint="eastAsia" w:ascii="Times New Roman" w:hAnsi="Times New Roman" w:eastAsia="方正仿宋_GBK" w:cs="Times New Roman"/>
          <w:snapToGrid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针对不同的参保群体，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打通服务堵点、难点、节点，实现高效、集成、便捷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参保缴费服务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增强风险防范意识，加强基金收支预算管理和运行分析，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做好保费收入的对账记账工作，确保全市医保基金收支平衡。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扎实开展医保基金使用管理突出问题专项整治，严厉打击欺诈骗保行为，切实维护医保基金安全。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在各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级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政府统一组织下，压实工作责任，强化部门协同，完善体制机制，调动基层工作积极性，做好政策宣传解读，同时合理引导社会预期，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营造全社会关注医保、支持医保的良好氛围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推动全民参保高质量发展。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重大情况及时报告。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pacing w:val="0"/>
          <w:sz w:val="32"/>
          <w:szCs w:val="24"/>
        </w:rPr>
        <w:t>本通知自发文之日起执行。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20"/>
          <w:kern w:val="0"/>
          <w:sz w:val="32"/>
          <w:szCs w:val="24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  <w:t xml:space="preserve">重庆市医疗保障局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20"/>
          <w:kern w:val="0"/>
          <w:sz w:val="32"/>
          <w:szCs w:val="24"/>
          <w:highlight w:val="none"/>
          <w:u w:val="none"/>
        </w:rPr>
        <w:t>重庆市财政局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  <w:t>国家税务总局重庆市税务局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vanish/>
          <w:spacing w:val="0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0"/>
          <w:sz w:val="32"/>
          <w:szCs w:val="24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宋体" w:cs="Times New Roman"/>
          <w:color w:val="auto"/>
          <w:spacing w:val="0"/>
          <w:sz w:val="32"/>
          <w:szCs w:val="24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4"/>
          <w:highlight w:val="none"/>
          <w:u w:val="none"/>
        </w:rPr>
        <w:t>日</w:t>
      </w:r>
      <w:bookmarkStart w:id="3" w:name="_GoBack"/>
    </w:p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keepNext/>
        <w:keepLines/>
        <w:widowControl w:val="0"/>
        <w:spacing w:before="340" w:after="330" w:line="578" w:lineRule="auto"/>
        <w:jc w:val="both"/>
        <w:outlineLvl w:val="0"/>
        <w:rPr>
          <w:rFonts w:hint="eastAsia" w:ascii="Times New Roman" w:hAnsi="Times New Roman" w:eastAsia="宋体" w:cs="Times New Roman"/>
          <w:b/>
          <w:bCs/>
          <w:vanish/>
          <w:kern w:val="44"/>
          <w:sz w:val="44"/>
          <w:szCs w:val="4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p>
      <w:pPr>
        <w:widowControl w:val="0"/>
        <w:snapToGrid w:val="0"/>
        <w:spacing w:line="144" w:lineRule="auto"/>
        <w:jc w:val="both"/>
        <w:rPr>
          <w:rFonts w:ascii="Times New Roman" w:hAnsi="Times New Roman" w:eastAsia="方正仿宋_GBK" w:cs="方正仿宋_GBK"/>
          <w:vanish/>
          <w:color w:val="000000"/>
          <w:kern w:val="2"/>
          <w:sz w:val="32"/>
          <w:szCs w:val="24"/>
          <w:lang w:val="en-US" w:eastAsia="zh-CN" w:bidi="ar-SA"/>
        </w:rPr>
      </w:pPr>
    </w:p>
    <w:bookmarkEnd w:id="3"/>
    <w:p>
      <w:pPr>
        <w:rPr>
          <w:rFonts w:ascii="Times New Roman" w:hAnsi="Times New Roman" w:eastAsia="方正小标宋_GBK" w:cs="方正小标宋_GBK"/>
          <w:vanish/>
          <w:sz w:val="44"/>
          <w:szCs w:val="44"/>
        </w:rPr>
      </w:pPr>
      <w:r>
        <w:rPr>
          <w:rFonts w:ascii="Times New Roman" w:hAnsi="Times New Roman" w:eastAsia="方正小标宋_GBK" w:cs="方正小标宋_GBK"/>
          <w:vanish/>
          <w:sz w:val="44"/>
          <w:szCs w:val="44"/>
        </w:rPr>
        <w:br w:type="page"/>
      </w:r>
    </w:p>
    <w:p>
      <w:pPr>
        <w:widowControl w:val="0"/>
        <w:jc w:val="center"/>
        <w:rPr>
          <w:rFonts w:ascii="Calibri" w:hAnsi="Calibri" w:eastAsia="宋体" w:cs="Times New Roman"/>
          <w:vanish/>
          <w:kern w:val="2"/>
          <w:sz w:val="21"/>
          <w:szCs w:val="22"/>
          <w:lang w:val="zh-CN" w:eastAsia="zh-CN" w:bidi="ar-SA"/>
        </w:rPr>
      </w:pPr>
    </w:p>
    <w:p>
      <w:pPr>
        <w:rPr>
          <w:rFonts w:ascii="方正仿宋_GBK" w:hAnsi="Calibri" w:eastAsia="方正仿宋_GBK" w:cs="Times New Roman"/>
          <w:b/>
          <w:bCs/>
          <w:vanish/>
          <w:sz w:val="32"/>
          <w:szCs w:val="3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hint="eastAsia" w:ascii="Calibri" w:hAnsi="Calibri" w:eastAsia="宋体" w:cs="Times New Roman"/>
          <w:vanish/>
          <w:sz w:val="21"/>
          <w:szCs w:val="22"/>
          <w:lang w:eastAsia="zh-CN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widowControl w:val="0"/>
        <w:snapToGrid w:val="0"/>
        <w:spacing w:line="144" w:lineRule="auto"/>
        <w:jc w:val="center"/>
        <w:rPr>
          <w:rFonts w:ascii="Calibri" w:hAnsi="Calibri" w:eastAsia="方正仿宋_GBK" w:cs="方正仿宋_GBK"/>
          <w:vanish/>
          <w:kern w:val="2"/>
          <w:sz w:val="32"/>
          <w:szCs w:val="22"/>
          <w:lang w:val="zh-CN" w:eastAsia="zh-CN" w:bidi="ar-SA"/>
        </w:rPr>
      </w:pPr>
    </w:p>
    <w:p>
      <w:pPr>
        <w:widowControl w:val="0"/>
        <w:jc w:val="both"/>
        <w:rPr>
          <w:rFonts w:ascii="Calibri" w:hAnsi="Calibri" w:eastAsia="方正仿宋_GBK" w:cs="方正仿宋_GBK"/>
          <w:vanish/>
          <w:kern w:val="2"/>
          <w:sz w:val="32"/>
          <w:szCs w:val="22"/>
          <w:lang w:val="zh-CN" w:eastAsia="zh-CN" w:bidi="ar-SA"/>
        </w:rPr>
      </w:pPr>
    </w:p>
    <w:p>
      <w:pPr>
        <w:pStyle w:val="3"/>
        <w:rPr>
          <w:rFonts w:ascii="Calibri" w:hAnsi="Calibri" w:eastAsia="方正仿宋_GBK" w:cs="方正仿宋_GBK"/>
          <w:vanish/>
          <w:kern w:val="2"/>
          <w:sz w:val="32"/>
          <w:szCs w:val="22"/>
          <w:lang w:val="zh-CN" w:eastAsia="zh-CN" w:bidi="ar-SA"/>
        </w:rPr>
      </w:pPr>
    </w:p>
    <w:p>
      <w:pPr>
        <w:pStyle w:val="3"/>
        <w:rPr>
          <w:rFonts w:ascii="Calibri" w:hAnsi="Calibri" w:eastAsia="方正仿宋_GBK" w:cs="方正仿宋_GBK"/>
          <w:vanish/>
          <w:kern w:val="2"/>
          <w:sz w:val="32"/>
          <w:szCs w:val="22"/>
          <w:lang w:val="zh-CN" w:eastAsia="zh-CN" w:bidi="ar-SA"/>
        </w:rPr>
      </w:pPr>
    </w:p>
    <w:p>
      <w:pPr>
        <w:pStyle w:val="3"/>
        <w:rPr>
          <w:rFonts w:ascii="Calibri" w:hAnsi="Calibri" w:eastAsia="方正仿宋_GBK" w:cs="方正仿宋_GBK"/>
          <w:vanish/>
          <w:kern w:val="2"/>
          <w:sz w:val="32"/>
          <w:szCs w:val="22"/>
          <w:lang w:val="zh-CN" w:eastAsia="zh-CN" w:bidi="ar-SA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jc w:val="right"/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Calibri" w:hAnsi="Calibri" w:eastAsia="宋体" w:cs="Times New Roman"/>
          <w:vanish/>
          <w:sz w:val="21"/>
          <w:szCs w:val="22"/>
        </w:rPr>
      </w:pPr>
    </w:p>
    <w:p>
      <w:pPr>
        <w:rPr>
          <w:rFonts w:ascii="方正仿宋_GBK" w:hAnsi="Calibri" w:eastAsia="方正仿宋_GBK" w:cs="Times New Roman"/>
          <w:vanish/>
          <w:sz w:val="21"/>
          <w:szCs w:val="2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4" w:lineRule="auto"/>
        <w:ind w:right="210" w:rightChars="100" w:firstLine="320" w:firstLineChars="100"/>
        <w:jc w:val="both"/>
        <w:textAlignment w:val="auto"/>
        <w:rPr>
          <w:rFonts w:ascii="Calibri" w:hAnsi="Calibri" w:eastAsia="方正仿宋_GBK" w:cs="方正仿宋_GBK"/>
          <w:vanish/>
          <w:kern w:val="2"/>
          <w:sz w:val="32"/>
          <w:szCs w:val="22"/>
          <w:lang w:val="zh-CN" w:eastAsia="zh-CN" w:bidi="ar-SA"/>
        </w:rPr>
      </w:pPr>
    </w:p>
    <w:p>
      <w:pPr>
        <w:pStyle w:val="4"/>
        <w:rPr>
          <w:rFonts w:hint="eastAsia"/>
          <w:vanish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283" w:footer="794" w:gutter="0"/>
          <w:pgNumType w:fmt="numberInDash"/>
          <w:cols w:space="0" w:num="1"/>
          <w:rtlGutter w:val="0"/>
          <w:docGrid w:type="lines" w:linePitch="475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vanish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sectPr>
          <w:footerReference r:id="rId5" w:type="default"/>
          <w:pgSz w:w="11906" w:h="16838"/>
          <w:pgMar w:top="1474" w:right="1984" w:bottom="1587" w:left="2098" w:header="283" w:footer="794" w:gutter="0"/>
          <w:pgNumType w:fmt="numberInDash"/>
          <w:cols w:space="0" w:num="1"/>
          <w:rtlGutter w:val="0"/>
          <w:docGrid w:type="lines" w:linePitch="475" w:charSpace="0"/>
        </w:sectPr>
      </w:pPr>
    </w:p>
    <w:p>
      <w:pPr>
        <w:pStyle w:val="4"/>
        <w:rPr>
          <w:rFonts w:hint="eastAsia"/>
          <w:vanish/>
          <w:lang w:val="en-US" w:eastAsia="zh-CN"/>
        </w:rPr>
      </w:pPr>
    </w:p>
    <w:p>
      <w:pPr>
        <w:rPr>
          <w:rFonts w:hint="eastAsia"/>
          <w:vanish/>
          <w:lang w:val="en-US" w:eastAsia="zh-CN"/>
        </w:rPr>
      </w:pPr>
    </w:p>
    <w:p>
      <w:pPr>
        <w:pStyle w:val="4"/>
        <w:rPr>
          <w:rFonts w:hint="eastAsia"/>
          <w:vanish/>
          <w:lang w:val="en-US" w:eastAsia="zh-CN"/>
        </w:rPr>
      </w:pPr>
    </w:p>
    <w:p>
      <w:pPr>
        <w:rPr>
          <w:rFonts w:hint="eastAsia"/>
          <w:vanish/>
          <w:lang w:val="en-US" w:eastAsia="zh-CN"/>
        </w:rPr>
        <w:sectPr>
          <w:pgSz w:w="11906" w:h="16838"/>
          <w:pgMar w:top="1474" w:right="1984" w:bottom="1587" w:left="2098" w:header="283" w:footer="794" w:gutter="0"/>
          <w:pgNumType w:fmt="numberInDash"/>
          <w:cols w:space="0" w:num="1"/>
          <w:rtlGutter w:val="0"/>
          <w:docGrid w:type="lines" w:linePitch="475" w:charSpace="0"/>
        </w:sectPr>
      </w:pPr>
    </w:p>
    <w:p>
      <w:pPr>
        <w:pStyle w:val="4"/>
        <w:rPr>
          <w:rFonts w:hint="eastAsia"/>
          <w:vanish/>
          <w:lang w:val="en-US" w:eastAsia="zh-CN"/>
        </w:rPr>
        <w:sectPr>
          <w:pgSz w:w="11906" w:h="16838"/>
          <w:pgMar w:top="1474" w:right="1984" w:bottom="1587" w:left="2098" w:header="283" w:footer="794" w:gutter="0"/>
          <w:pgNumType w:fmt="numberInDash"/>
          <w:cols w:space="0" w:num="1"/>
          <w:rtlGutter w:val="0"/>
          <w:docGrid w:type="lines" w:linePitch="475" w:charSpace="0"/>
        </w:sectPr>
      </w:pPr>
    </w:p>
    <w:p>
      <w:pPr>
        <w:rPr>
          <w:rFonts w:hint="eastAsia"/>
          <w:vanish/>
          <w:lang w:val="en-US" w:eastAsia="zh-CN"/>
        </w:rPr>
      </w:pPr>
    </w:p>
    <w:p>
      <w:pPr>
        <w:rPr>
          <w:rFonts w:ascii="Times New Roman" w:hAnsi="Times New Roman"/>
          <w:vanish/>
          <w:szCs w:val="24"/>
        </w:rPr>
      </w:pPr>
      <w:r>
        <w:rPr>
          <w:rFonts w:hint="eastAsia" w:ascii="Times New Roman" w:hAnsi="Times New Roman" w:eastAsia="仿宋_GB2312" w:cs="Times New Roman"/>
          <w:vanish/>
          <w:sz w:val="32"/>
          <w:szCs w:val="32"/>
        </w:rPr>
        <w:br w:type="page"/>
      </w: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keepNext/>
        <w:keepLines/>
        <w:widowControl w:val="0"/>
        <w:spacing w:before="340" w:after="330" w:line="578" w:lineRule="auto"/>
        <w:jc w:val="both"/>
        <w:outlineLvl w:val="0"/>
        <w:rPr>
          <w:rFonts w:hint="eastAsia" w:ascii="Times New Roman" w:hAnsi="Times New Roman" w:eastAsia="宋体" w:cs="Times New Roman"/>
          <w:b/>
          <w:bCs/>
          <w:vanish/>
          <w:kern w:val="44"/>
          <w:sz w:val="44"/>
          <w:szCs w:val="4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snapToGrid w:val="0"/>
        <w:spacing w:line="15" w:lineRule="auto"/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jc w:val="right"/>
        <w:rPr>
          <w:rFonts w:eastAsia="宋体" w:cs="Times New Roman"/>
          <w:vanish/>
          <w:sz w:val="21"/>
          <w:szCs w:val="22"/>
        </w:rPr>
      </w:pPr>
      <w:bookmarkStart w:id="2" w:name="公章"/>
      <w:bookmarkEnd w:id="2"/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ascii="方正仿宋_GBK" w:eastAsia="方正仿宋_GBK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4"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2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sectPr>
      <w:pgSz w:w="11906" w:h="16838"/>
      <w:pgMar w:top="1474" w:right="1984" w:bottom="1587" w:left="2098" w:header="283" w:footer="794" w:gutter="0"/>
      <w:pgNumType w:fmt="numberInDash"/>
      <w:cols w:space="0" w:num="1"/>
      <w:rtlGutter w:val="0"/>
      <w:docGrid w:type="lines" w:linePitch="47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-120015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vatC9UAAAAI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b/>
        <w:bCs/>
        <w:color w:val="005192"/>
        <w:sz w:val="2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136525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2pt;margin-top:10.75pt;height:0.15pt;width:442.25pt;z-index:251661312;mso-width-relative:page;mso-height-relative:page;" filled="f" stroked="t" coordsize="21600,21600" o:gfxdata="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U66U1AAAAAc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/>
      </w:rPr>
      <w:t>重庆市医疗保障局发布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beforeLines="150"/>
      <w:jc w:val="left"/>
      <w:rPr>
        <w:rFonts w:hint="eastAsia" w:ascii="宋体" w:hAnsi="宋体" w:cs="宋体"/>
        <w:b/>
        <w:bCs/>
        <w:color w:val="005192"/>
        <w:sz w:val="32"/>
        <w:szCs w:val="32"/>
        <w:lang w:val="en-US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675005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53.15pt;height:0pt;width:442.55pt;z-index:251660288;mso-width-relative:page;mso-height-relative:page;" filled="f" stroked="t" coordsize="21600,21600" o:gfxdata="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6xMIdIA&#10;AAAJAQAADwAAAAAAAAABACAAAAAiAAAAZHJzL2Rvd25yZXYueG1sUEsBAhQAFAAAAAgAh07iQLOJ&#10;ui7sAQAAwAMAAA4AAAAAAAAAAQAgAAAAIQ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32"/>
        <w:lang w:val="en-US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val="en-US"/>
      </w:rPr>
      <w:t>重庆市医疗保障局</w:t>
    </w:r>
    <w:r>
      <w:rPr>
        <w:rFonts w:hint="eastAsia" w:ascii="宋体" w:hAnsi="宋体" w:cs="宋体"/>
        <w:b/>
        <w:bCs/>
        <w:color w:val="005192"/>
        <w:sz w:val="32"/>
        <w:szCs w:val="32"/>
        <w:lang w:val="en-US"/>
      </w:rPr>
      <w:t>规范性文件</w:t>
    </w:r>
  </w:p>
  <w:p>
    <w:pPr>
      <w:pStyle w:val="7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auto"/>
      <w:rPr>
        <w:rFonts w:hint="eastAsia" w:ascii="宋体" w:hAnsi="宋体" w:cs="宋体"/>
        <w:b/>
        <w:bCs/>
        <w:color w:val="005192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3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D59F1"/>
    <w:rsid w:val="001B29FD"/>
    <w:rsid w:val="001E62AC"/>
    <w:rsid w:val="00256583"/>
    <w:rsid w:val="00287718"/>
    <w:rsid w:val="002958C0"/>
    <w:rsid w:val="00336BD7"/>
    <w:rsid w:val="004375A7"/>
    <w:rsid w:val="00465ED9"/>
    <w:rsid w:val="004F3710"/>
    <w:rsid w:val="006236DB"/>
    <w:rsid w:val="006251EB"/>
    <w:rsid w:val="00627C57"/>
    <w:rsid w:val="006761A9"/>
    <w:rsid w:val="006C28A5"/>
    <w:rsid w:val="006C716A"/>
    <w:rsid w:val="00800B09"/>
    <w:rsid w:val="00845074"/>
    <w:rsid w:val="008A1FBB"/>
    <w:rsid w:val="009569E5"/>
    <w:rsid w:val="00A8021B"/>
    <w:rsid w:val="00BB0F49"/>
    <w:rsid w:val="00BD59F1"/>
    <w:rsid w:val="00C02CA9"/>
    <w:rsid w:val="00C05E09"/>
    <w:rsid w:val="00D822F4"/>
    <w:rsid w:val="00E10AF5"/>
    <w:rsid w:val="00E95DD5"/>
    <w:rsid w:val="00E97256"/>
    <w:rsid w:val="00EC1B42"/>
    <w:rsid w:val="00F65B11"/>
    <w:rsid w:val="00F713B4"/>
    <w:rsid w:val="017161EE"/>
    <w:rsid w:val="0373439E"/>
    <w:rsid w:val="05E13F99"/>
    <w:rsid w:val="06107982"/>
    <w:rsid w:val="069B5865"/>
    <w:rsid w:val="08FE7C34"/>
    <w:rsid w:val="09013BBB"/>
    <w:rsid w:val="09C724A7"/>
    <w:rsid w:val="0B195B80"/>
    <w:rsid w:val="14343F9C"/>
    <w:rsid w:val="16D81DB6"/>
    <w:rsid w:val="174775C1"/>
    <w:rsid w:val="19F26BB1"/>
    <w:rsid w:val="1A7754F8"/>
    <w:rsid w:val="1B0753E2"/>
    <w:rsid w:val="1B4E30E0"/>
    <w:rsid w:val="1C03787B"/>
    <w:rsid w:val="1F66431E"/>
    <w:rsid w:val="1F6B6086"/>
    <w:rsid w:val="1FF2314D"/>
    <w:rsid w:val="21827243"/>
    <w:rsid w:val="250948EB"/>
    <w:rsid w:val="261C1009"/>
    <w:rsid w:val="26FE3319"/>
    <w:rsid w:val="27851AC3"/>
    <w:rsid w:val="2B1D7252"/>
    <w:rsid w:val="2B372E74"/>
    <w:rsid w:val="2BC52E85"/>
    <w:rsid w:val="2C0679BF"/>
    <w:rsid w:val="2CC63B0D"/>
    <w:rsid w:val="2DEC6BE5"/>
    <w:rsid w:val="2E593E6B"/>
    <w:rsid w:val="2FBD190A"/>
    <w:rsid w:val="314372AE"/>
    <w:rsid w:val="31667E06"/>
    <w:rsid w:val="324E1D58"/>
    <w:rsid w:val="32DA5548"/>
    <w:rsid w:val="335B486B"/>
    <w:rsid w:val="3550528F"/>
    <w:rsid w:val="369E4EAA"/>
    <w:rsid w:val="3CC11305"/>
    <w:rsid w:val="3E4C7C05"/>
    <w:rsid w:val="3E8C7CCF"/>
    <w:rsid w:val="3FBA347C"/>
    <w:rsid w:val="40CB1594"/>
    <w:rsid w:val="43350544"/>
    <w:rsid w:val="44897362"/>
    <w:rsid w:val="44BE37CF"/>
    <w:rsid w:val="45A537EA"/>
    <w:rsid w:val="464D005F"/>
    <w:rsid w:val="4A280732"/>
    <w:rsid w:val="4A9F2515"/>
    <w:rsid w:val="4D3B4FB8"/>
    <w:rsid w:val="4D627DB3"/>
    <w:rsid w:val="4E5F467B"/>
    <w:rsid w:val="53AD1103"/>
    <w:rsid w:val="54E36229"/>
    <w:rsid w:val="554B02CC"/>
    <w:rsid w:val="580C22FF"/>
    <w:rsid w:val="58725B91"/>
    <w:rsid w:val="589B50B4"/>
    <w:rsid w:val="59312802"/>
    <w:rsid w:val="5BEE4C02"/>
    <w:rsid w:val="5BFF151F"/>
    <w:rsid w:val="5F78236B"/>
    <w:rsid w:val="602461BE"/>
    <w:rsid w:val="6314426C"/>
    <w:rsid w:val="67951754"/>
    <w:rsid w:val="699A3F3C"/>
    <w:rsid w:val="6CF5407A"/>
    <w:rsid w:val="6FAC2205"/>
    <w:rsid w:val="705C4D5F"/>
    <w:rsid w:val="7874644F"/>
    <w:rsid w:val="791E0F5E"/>
    <w:rsid w:val="7B1A16F5"/>
    <w:rsid w:val="7CCA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semiHidden/>
    <w:unhideWhenUsed/>
    <w:qFormat/>
    <w:uiPriority w:val="99"/>
    <w:pPr>
      <w:jc w:val="center"/>
    </w:pPr>
    <w:rPr>
      <w:lang w:val="zh-CN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 Char"/>
    <w:semiHidden/>
    <w:qFormat/>
    <w:uiPriority w:val="99"/>
    <w:rPr>
      <w:kern w:val="2"/>
      <w:sz w:val="21"/>
      <w:szCs w:val="22"/>
    </w:rPr>
  </w:style>
  <w:style w:type="character" w:customStyle="1" w:styleId="13">
    <w:name w:val="正文文本 Char1"/>
    <w:link w:val="2"/>
    <w:qFormat/>
    <w:uiPriority w:val="0"/>
    <w:rPr>
      <w:rFonts w:ascii="Times New Roman" w:hAnsi="Times New Roman" w:eastAsia="仿宋_GB2312"/>
      <w:b/>
      <w:color w:val="FF0000"/>
      <w:kern w:val="2"/>
      <w:sz w:val="44"/>
      <w:szCs w:val="32"/>
      <w:lang w:val="zh-CN" w:eastAsia="zh-CN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146</Words>
  <Characters>835</Characters>
  <Lines>6</Lines>
  <Paragraphs>1</Paragraphs>
  <TotalTime>1</TotalTime>
  <ScaleCrop>false</ScaleCrop>
  <LinksUpToDate>false</LinksUpToDate>
  <CharactersWithSpaces>980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2021-12-02T08:42:00Z</dcterms:created>
  <dc:creator>赖茜</dc:creator>
  <cp:lastModifiedBy>胡娟</cp:lastModifiedBy>
  <cp:lastPrinted>2023-03-10T07:08:00Z</cp:lastPrinted>
  <dcterms:modified xsi:type="dcterms:W3CDTF">2025-10-27T04:01:24Z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AB91EAF67F9743F1899668490C45368F</vt:lpwstr>
  </property>
</Properties>
</file>