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napToGrid w:val="0"/>
          <w:color w:val="000000"/>
          <w:kern w:val="0"/>
          <w:sz w:val="44"/>
          <w:szCs w:val="44"/>
          <w:shd w:val="clear" w:color="auto" w:fill="FFFFFF"/>
        </w:rPr>
      </w:pPr>
      <w:r>
        <w:rPr>
          <w:rFonts w:hint="eastAsia" w:ascii="方正小标宋_GBK" w:hAnsi="方正小标宋_GBK" w:eastAsia="方正小标宋_GBK" w:cs="方正小标宋_GBK"/>
          <w:snapToGrid w:val="0"/>
          <w:color w:val="000000"/>
          <w:kern w:val="0"/>
          <w:sz w:val="44"/>
          <w:szCs w:val="44"/>
          <w:shd w:val="clear" w:color="auto" w:fill="FFFFFF"/>
        </w:rPr>
        <w:t>重庆市医疗保障局关于</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napToGrid w:val="0"/>
          <w:color w:val="000000"/>
          <w:kern w:val="0"/>
          <w:sz w:val="44"/>
          <w:szCs w:val="44"/>
          <w:shd w:val="clear" w:color="auto" w:fill="FFFFFF"/>
        </w:rPr>
      </w:pPr>
      <w:r>
        <w:rPr>
          <w:rFonts w:hint="eastAsia" w:ascii="方正小标宋_GBK" w:hAnsi="方正小标宋_GBK" w:eastAsia="方正小标宋_GBK" w:cs="方正小标宋_GBK"/>
          <w:snapToGrid w:val="0"/>
          <w:color w:val="000000"/>
          <w:kern w:val="0"/>
          <w:sz w:val="44"/>
          <w:szCs w:val="44"/>
          <w:shd w:val="clear" w:color="auto" w:fill="FFFFFF"/>
        </w:rPr>
        <w:t>规范超声检查类医疗服务价格项目及</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napToGrid w:val="0"/>
          <w:color w:val="000000"/>
          <w:kern w:val="0"/>
          <w:sz w:val="44"/>
          <w:szCs w:val="44"/>
          <w:shd w:val="clear" w:color="auto" w:fill="FFFFFF"/>
        </w:rPr>
      </w:pPr>
      <w:r>
        <w:rPr>
          <w:rFonts w:hint="eastAsia" w:ascii="方正小标宋_GBK" w:hAnsi="方正小标宋_GBK" w:eastAsia="方正小标宋_GBK" w:cs="方正小标宋_GBK"/>
          <w:snapToGrid w:val="0"/>
          <w:color w:val="000000"/>
          <w:kern w:val="0"/>
          <w:sz w:val="44"/>
          <w:szCs w:val="44"/>
          <w:shd w:val="clear" w:color="auto" w:fill="FFFFFF"/>
        </w:rPr>
        <w:t>医保支付政策的通知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2025</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44</w:t>
      </w:r>
      <w:r>
        <w:rPr>
          <w:rFonts w:hint="eastAsia" w:ascii="Calibri" w:hAnsi="Calibri" w:eastAsia="方正仿宋_GBK" w:cs="方正仿宋_GBK"/>
          <w:sz w:val="32"/>
          <w:szCs w:val="32"/>
        </w:rPr>
        <w:t>号</w:t>
      </w:r>
    </w:p>
    <w:p>
      <w:pPr>
        <w:keepNext w:val="0"/>
        <w:keepLines w:val="0"/>
        <w:pageBreakBefore w:val="0"/>
        <w:widowControl/>
        <w:kinsoku/>
        <w:wordWrap/>
        <w:overflowPunct/>
        <w:topLinePunct w:val="0"/>
        <w:autoSpaceDE/>
        <w:autoSpaceDN/>
        <w:bidi w:val="0"/>
        <w:adjustRightInd w:val="0"/>
        <w:snapToGrid w:val="0"/>
        <w:spacing w:line="570" w:lineRule="exact"/>
        <w:textAlignment w:val="auto"/>
        <w:rPr>
          <w:rFonts w:ascii="Times New Roman" w:hAnsi="Times New Roman" w:eastAsia="方正仿宋_GBK" w:cs="Times New Roman"/>
          <w:color w:val="000000"/>
          <w:kern w:val="0"/>
          <w:sz w:val="31"/>
          <w:szCs w:val="31"/>
          <w:shd w:val="clear" w:color="auto" w:fill="FFFFFF"/>
          <w:lang w:bidi="ar"/>
        </w:rPr>
      </w:pP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ascii="Times New Roman" w:hAnsi="Times New Roman" w:eastAsia="宋体" w:cs="Times New Roman"/>
          <w:snapToGrid w:val="0"/>
          <w:kern w:val="0"/>
          <w:sz w:val="32"/>
          <w:szCs w:val="32"/>
        </w:rPr>
      </w:pPr>
      <w:r>
        <w:rPr>
          <w:rFonts w:ascii="Times New Roman" w:hAnsi="Times New Roman" w:eastAsia="方正仿宋_GBK" w:cs="Times New Roman"/>
          <w:snapToGrid w:val="0"/>
          <w:color w:val="000000"/>
          <w:kern w:val="0"/>
          <w:sz w:val="32"/>
          <w:szCs w:val="32"/>
          <w:shd w:val="clear" w:color="auto" w:fill="FFFFFF"/>
          <w:lang w:bidi="ar"/>
        </w:rPr>
        <w:t>各区县（自治县）医保局，高新区政务服务和社会事务中心、万盛经开区人力社保局，各公立医疗机构，有关单位：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napToGrid w:val="0"/>
          <w:color w:val="000000"/>
          <w:kern w:val="0"/>
          <w:sz w:val="32"/>
          <w:szCs w:val="32"/>
          <w:shd w:val="clear" w:color="auto" w:fill="FFFFFF"/>
          <w:lang w:val="en-US" w:eastAsia="zh-CN" w:bidi="ar"/>
        </w:rPr>
      </w:pPr>
      <w:r>
        <w:rPr>
          <w:rFonts w:ascii="Times New Roman" w:hAnsi="Times New Roman" w:eastAsia="方正仿宋_GBK" w:cs="Times New Roman"/>
          <w:snapToGrid w:val="0"/>
          <w:color w:val="000000"/>
          <w:kern w:val="0"/>
          <w:sz w:val="32"/>
          <w:szCs w:val="32"/>
          <w:shd w:val="clear" w:color="auto" w:fill="FFFFFF"/>
          <w:lang w:bidi="ar"/>
        </w:rPr>
        <w:t>为贯彻落实国家医保局等8部门《关于印发&lt;深化医疗服务价格改革试点方案&gt;的通知》</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医保发〔2021〕41号</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精神，统一超声检查类医疗服务价格项目，规范超声检查收费，根据国家医保局《关于印发超声检查类医疗服务价格项目立项指南</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试行</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》的通知</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医保价采函〔2024〕224号</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等相关要求，经研究，决定对我市超声检查类医疗服务价格项目进行规范并将部分超声检查类医疗服务项目纳入基本医疗保险基金支付范围，现就有关事项通知如下</w:t>
      </w:r>
      <w:r>
        <w:rPr>
          <w:rFonts w:hint="eastAsia" w:ascii="Times New Roman" w:hAnsi="Times New Roman" w:eastAsia="方正仿宋_GBK" w:cs="Times New Roman"/>
          <w:snapToGrid w:val="0"/>
          <w:color w:val="000000"/>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黑体_GBK" w:cs="Times New Roman"/>
          <w:snapToGrid w:val="0"/>
          <w:color w:val="000000"/>
          <w:kern w:val="0"/>
          <w:sz w:val="32"/>
          <w:szCs w:val="32"/>
          <w:shd w:val="clear" w:color="auto" w:fill="FFFFFF"/>
          <w:lang w:bidi="ar"/>
        </w:rPr>
      </w:pPr>
      <w:r>
        <w:rPr>
          <w:rFonts w:ascii="Times New Roman" w:hAnsi="Times New Roman" w:eastAsia="方正黑体_GBK" w:cs="Times New Roman"/>
          <w:snapToGrid w:val="0"/>
          <w:color w:val="000000"/>
          <w:kern w:val="0"/>
          <w:sz w:val="32"/>
          <w:szCs w:val="32"/>
          <w:shd w:val="clear" w:color="auto" w:fill="FFFFFF"/>
          <w:lang w:bidi="ar"/>
        </w:rPr>
        <w:t>一、规范医疗服务价格项目</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color w:val="000000"/>
          <w:kern w:val="0"/>
          <w:sz w:val="32"/>
          <w:szCs w:val="32"/>
          <w:shd w:val="clear" w:color="auto" w:fill="FFFFFF"/>
          <w:lang w:bidi="ar"/>
        </w:rPr>
      </w:pPr>
      <w:r>
        <w:rPr>
          <w:rFonts w:hint="eastAsia" w:ascii="Times New Roman" w:hAnsi="Times New Roman" w:eastAsia="方正仿宋_GBK" w:cs="Times New Roman"/>
          <w:snapToGrid w:val="0"/>
          <w:color w:val="000000"/>
          <w:kern w:val="0"/>
          <w:sz w:val="32"/>
          <w:szCs w:val="32"/>
          <w:shd w:val="clear" w:color="auto" w:fill="FFFFFF"/>
          <w:lang w:bidi="ar"/>
        </w:rPr>
        <w:t>执行</w:t>
      </w:r>
      <w:r>
        <w:rPr>
          <w:rFonts w:ascii="Times New Roman" w:hAnsi="Times New Roman" w:eastAsia="方正仿宋_GBK" w:cs="Times New Roman"/>
          <w:snapToGrid w:val="0"/>
          <w:color w:val="000000"/>
          <w:kern w:val="0"/>
          <w:sz w:val="32"/>
          <w:szCs w:val="32"/>
          <w:shd w:val="clear" w:color="auto" w:fill="FFFFFF"/>
          <w:lang w:bidi="ar"/>
        </w:rPr>
        <w:t>《超声检查类医疗服务价格项目立项指南</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试行</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》中</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A型超声检查</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等13项医疗服务价格项目</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详见附件1</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w:t>
      </w:r>
      <w:r>
        <w:rPr>
          <w:rFonts w:hint="eastAsia" w:ascii="Times New Roman" w:hAnsi="Times New Roman" w:eastAsia="方正仿宋_GBK" w:cs="Times New Roman"/>
          <w:snapToGrid w:val="0"/>
          <w:color w:val="000000"/>
          <w:kern w:val="0"/>
          <w:sz w:val="32"/>
          <w:szCs w:val="32"/>
          <w:shd w:val="clear" w:color="auto" w:fill="FFFFFF"/>
          <w:lang w:bidi="ar"/>
        </w:rPr>
        <w:t>修订“超声计算机图文报告</w:t>
      </w:r>
      <w:r>
        <w:rPr>
          <w:rFonts w:ascii="Times New Roman" w:hAnsi="Times New Roman" w:eastAsia="方正仿宋_GBK" w:cs="Times New Roman"/>
          <w:snapToGrid w:val="0"/>
          <w:color w:val="000000"/>
          <w:kern w:val="0"/>
          <w:sz w:val="32"/>
          <w:szCs w:val="32"/>
          <w:shd w:val="clear" w:color="auto" w:fill="FFFFFF"/>
          <w:lang w:bidi="ar"/>
        </w:rPr>
        <w:t>〔</w:t>
      </w:r>
      <w:r>
        <w:rPr>
          <w:rFonts w:hint="eastAsia" w:ascii="Times New Roman" w:hAnsi="Times New Roman" w:eastAsia="方正仿宋_GBK" w:cs="Times New Roman"/>
          <w:snapToGrid w:val="0"/>
          <w:color w:val="000000"/>
          <w:kern w:val="0"/>
          <w:sz w:val="32"/>
          <w:szCs w:val="32"/>
          <w:shd w:val="clear" w:color="auto" w:fill="FFFFFF"/>
          <w:lang w:bidi="ar"/>
        </w:rPr>
        <w:t>病理彩色图文报告（含图像分析）加收</w:t>
      </w:r>
      <w:r>
        <w:rPr>
          <w:rFonts w:ascii="Times New Roman" w:hAnsi="Times New Roman" w:eastAsia="方正仿宋_GBK" w:cs="Times New Roman"/>
          <w:snapToGrid w:val="0"/>
          <w:color w:val="000000"/>
          <w:kern w:val="0"/>
          <w:sz w:val="32"/>
          <w:szCs w:val="32"/>
          <w:shd w:val="clear" w:color="auto" w:fill="FFFFFF"/>
          <w:lang w:bidi="ar"/>
        </w:rPr>
        <w:t>〕</w:t>
      </w:r>
      <w:r>
        <w:rPr>
          <w:rFonts w:hint="eastAsia" w:ascii="Times New Roman" w:hAnsi="Times New Roman" w:eastAsia="方正仿宋_GBK" w:cs="Times New Roman"/>
          <w:snapToGrid w:val="0"/>
          <w:color w:val="000000"/>
          <w:kern w:val="0"/>
          <w:sz w:val="32"/>
          <w:szCs w:val="32"/>
          <w:shd w:val="clear" w:color="auto" w:fill="FFFFFF"/>
          <w:lang w:bidi="ar"/>
        </w:rPr>
        <w:t>”1项（详见附件2），</w:t>
      </w:r>
      <w:r>
        <w:rPr>
          <w:rFonts w:ascii="Times New Roman" w:hAnsi="Times New Roman" w:eastAsia="方正仿宋_GBK" w:cs="Times New Roman"/>
          <w:snapToGrid w:val="0"/>
          <w:color w:val="000000"/>
          <w:kern w:val="0"/>
          <w:sz w:val="32"/>
          <w:szCs w:val="32"/>
          <w:shd w:val="clear" w:color="auto" w:fill="FFFFFF"/>
          <w:lang w:bidi="ar"/>
        </w:rPr>
        <w:t>停用原执行价格项目147项</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详见附件</w:t>
      </w:r>
      <w:r>
        <w:rPr>
          <w:rFonts w:hint="eastAsia" w:ascii="Times New Roman" w:hAnsi="Times New Roman" w:eastAsia="方正仿宋_GBK" w:cs="Times New Roman"/>
          <w:snapToGrid w:val="0"/>
          <w:color w:val="000000"/>
          <w:kern w:val="0"/>
          <w:sz w:val="32"/>
          <w:szCs w:val="32"/>
          <w:shd w:val="clear" w:color="auto" w:fill="FFFFFF"/>
          <w:lang w:bidi="ar"/>
        </w:rPr>
        <w:t>3）</w:t>
      </w:r>
      <w:r>
        <w:rPr>
          <w:rFonts w:ascii="Times New Roman" w:hAnsi="Times New Roman" w:eastAsia="方正仿宋_GBK" w:cs="Times New Roman"/>
          <w:snapToGrid w:val="0"/>
          <w:color w:val="000000"/>
          <w:kern w:val="0"/>
          <w:sz w:val="32"/>
          <w:szCs w:val="32"/>
          <w:shd w:val="clear" w:color="auto" w:fill="FFFFFF"/>
          <w:lang w:bidi="ar"/>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黑体_GBK" w:cs="Times New Roman"/>
          <w:snapToGrid w:val="0"/>
          <w:color w:val="000000"/>
          <w:kern w:val="0"/>
          <w:sz w:val="32"/>
          <w:szCs w:val="32"/>
          <w:shd w:val="clear" w:color="auto" w:fill="FFFFFF"/>
          <w:lang w:bidi="ar"/>
        </w:rPr>
      </w:pPr>
      <w:r>
        <w:rPr>
          <w:rFonts w:hint="eastAsia" w:ascii="Times New Roman" w:hAnsi="Times New Roman" w:eastAsia="方正黑体_GBK" w:cs="Times New Roman"/>
          <w:snapToGrid w:val="0"/>
          <w:color w:val="000000"/>
          <w:kern w:val="0"/>
          <w:sz w:val="32"/>
          <w:szCs w:val="32"/>
          <w:shd w:val="clear" w:color="auto" w:fill="FFFFFF"/>
          <w:lang w:bidi="ar"/>
        </w:rPr>
        <w:t>二</w:t>
      </w:r>
      <w:r>
        <w:rPr>
          <w:rFonts w:ascii="Times New Roman" w:hAnsi="Times New Roman" w:eastAsia="方正黑体_GBK" w:cs="Times New Roman"/>
          <w:snapToGrid w:val="0"/>
          <w:color w:val="000000"/>
          <w:kern w:val="0"/>
          <w:sz w:val="32"/>
          <w:szCs w:val="32"/>
          <w:shd w:val="clear" w:color="auto" w:fill="FFFFFF"/>
          <w:lang w:bidi="ar"/>
        </w:rPr>
        <w:t>、</w:t>
      </w:r>
      <w:r>
        <w:rPr>
          <w:rFonts w:hint="eastAsia" w:ascii="Times New Roman" w:hAnsi="Times New Roman" w:eastAsia="方正黑体_GBK" w:cs="Times New Roman"/>
          <w:snapToGrid w:val="0"/>
          <w:color w:val="000000"/>
          <w:kern w:val="0"/>
          <w:sz w:val="32"/>
          <w:szCs w:val="32"/>
          <w:shd w:val="clear" w:color="auto" w:fill="FFFFFF"/>
          <w:lang w:eastAsia="zh-CN" w:bidi="ar"/>
        </w:rPr>
        <w:t>明确</w:t>
      </w:r>
      <w:r>
        <w:rPr>
          <w:rFonts w:ascii="Times New Roman" w:hAnsi="Times New Roman" w:eastAsia="方正黑体_GBK" w:cs="Times New Roman"/>
          <w:snapToGrid w:val="0"/>
          <w:color w:val="000000"/>
          <w:kern w:val="0"/>
          <w:sz w:val="32"/>
          <w:szCs w:val="32"/>
          <w:shd w:val="clear" w:color="auto" w:fill="FFFFFF"/>
          <w:lang w:bidi="ar"/>
        </w:rPr>
        <w:t>医保支付政策</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snapToGrid w:val="0"/>
          <w:color w:val="000000"/>
          <w:kern w:val="0"/>
          <w:sz w:val="32"/>
          <w:szCs w:val="32"/>
          <w:shd w:val="clear" w:color="auto" w:fill="FFFFFF"/>
          <w:lang w:val="en-US" w:eastAsia="zh-CN" w:bidi="ar"/>
        </w:rPr>
      </w:pPr>
      <w:r>
        <w:rPr>
          <w:rFonts w:ascii="Times New Roman" w:hAnsi="Times New Roman" w:eastAsia="方正仿宋_GBK" w:cs="Times New Roman"/>
          <w:snapToGrid w:val="0"/>
          <w:color w:val="333333"/>
          <w:kern w:val="0"/>
          <w:sz w:val="32"/>
          <w:szCs w:val="32"/>
          <w:shd w:val="clear" w:color="auto" w:fill="FFFFFF"/>
          <w:lang w:val="en-US" w:eastAsia="zh-CN" w:bidi="ar-SA"/>
        </w:rPr>
        <w:t>综合考虑临床需要、基金支付能力和价格等因素，明确</w:t>
      </w:r>
      <w:r>
        <w:rPr>
          <w:rFonts w:hint="eastAsia" w:ascii="Times New Roman" w:hAnsi="Times New Roman" w:eastAsia="方正仿宋_GBK" w:cs="宋体"/>
          <w:snapToGrid w:val="0"/>
          <w:color w:val="000000"/>
          <w:kern w:val="0"/>
          <w:sz w:val="32"/>
          <w:szCs w:val="32"/>
          <w:shd w:val="clear" w:color="auto" w:fill="FFFFFF"/>
          <w:lang w:val="en-US" w:eastAsia="zh-CN" w:bidi="ar"/>
        </w:rPr>
        <w:t>“</w:t>
      </w:r>
      <w:r>
        <w:rPr>
          <w:rFonts w:hint="eastAsia" w:ascii="Times New Roman" w:hAnsi="Times New Roman" w:eastAsia="方正仿宋_GBK" w:cs="Times New Roman"/>
          <w:snapToGrid w:val="0"/>
          <w:color w:val="333333"/>
          <w:kern w:val="0"/>
          <w:sz w:val="32"/>
          <w:szCs w:val="32"/>
          <w:shd w:val="clear" w:color="auto" w:fill="FFFFFF"/>
          <w:lang w:val="en-US" w:eastAsia="zh-CN" w:bidi="ar-SA"/>
        </w:rPr>
        <w:t>A型超声检查</w:t>
      </w:r>
      <w:r>
        <w:rPr>
          <w:rFonts w:hint="eastAsia" w:ascii="Times New Roman" w:hAnsi="Times New Roman" w:eastAsia="方正仿宋_GBK" w:cs="宋体"/>
          <w:snapToGrid w:val="0"/>
          <w:color w:val="000000"/>
          <w:kern w:val="0"/>
          <w:sz w:val="32"/>
          <w:szCs w:val="32"/>
          <w:shd w:val="clear" w:color="auto" w:fill="FFFFFF"/>
          <w:lang w:val="en-US" w:eastAsia="zh-CN" w:bidi="ar"/>
        </w:rPr>
        <w:t>”</w:t>
      </w:r>
      <w:r>
        <w:rPr>
          <w:rFonts w:ascii="Times New Roman" w:hAnsi="Times New Roman" w:eastAsia="方正仿宋_GBK" w:cs="Times New Roman"/>
          <w:snapToGrid w:val="0"/>
          <w:color w:val="333333"/>
          <w:kern w:val="0"/>
          <w:sz w:val="32"/>
          <w:szCs w:val="32"/>
          <w:shd w:val="clear" w:color="auto" w:fill="FFFFFF"/>
          <w:lang w:val="en-US" w:eastAsia="zh-CN" w:bidi="ar-SA"/>
        </w:rPr>
        <w:t>等医疗服务价格项目医保支付类别（详见附件1）。</w:t>
      </w:r>
    </w:p>
    <w:p>
      <w:pPr>
        <w:keepNext w:val="0"/>
        <w:keepLines w:val="0"/>
        <w:pageBreakBefore w:val="0"/>
        <w:widowControl/>
        <w:kinsoku/>
        <w:wordWrap/>
        <w:overflowPunct/>
        <w:topLinePunct w:val="0"/>
        <w:autoSpaceDE/>
        <w:autoSpaceDN/>
        <w:bidi w:val="0"/>
        <w:adjustRightInd w:val="0"/>
        <w:snapToGrid w:val="0"/>
        <w:spacing w:line="600" w:lineRule="exact"/>
        <w:ind w:firstLine="640"/>
        <w:jc w:val="both"/>
        <w:textAlignment w:val="auto"/>
        <w:rPr>
          <w:rFonts w:ascii="Times New Roman" w:hAnsi="Times New Roman" w:eastAsia="方正黑体_GBK" w:cs="Times New Roman"/>
          <w:snapToGrid w:val="0"/>
          <w:color w:val="000000"/>
          <w:kern w:val="0"/>
          <w:sz w:val="32"/>
          <w:szCs w:val="32"/>
          <w:shd w:val="clear" w:color="auto" w:fill="FFFFFF"/>
          <w:lang w:bidi="ar"/>
        </w:rPr>
      </w:pPr>
      <w:r>
        <w:rPr>
          <w:rFonts w:hint="eastAsia" w:ascii="Times New Roman" w:hAnsi="Times New Roman" w:eastAsia="方正黑体_GBK" w:cs="Times New Roman"/>
          <w:snapToGrid w:val="0"/>
          <w:color w:val="000000"/>
          <w:kern w:val="0"/>
          <w:sz w:val="32"/>
          <w:szCs w:val="32"/>
          <w:shd w:val="clear" w:color="auto" w:fill="FFFFFF"/>
          <w:lang w:bidi="ar"/>
        </w:rPr>
        <w:t>三</w:t>
      </w:r>
      <w:r>
        <w:rPr>
          <w:rFonts w:ascii="Times New Roman" w:hAnsi="Times New Roman" w:eastAsia="方正黑体_GBK" w:cs="Times New Roman"/>
          <w:snapToGrid w:val="0"/>
          <w:color w:val="000000"/>
          <w:kern w:val="0"/>
          <w:sz w:val="32"/>
          <w:szCs w:val="32"/>
          <w:shd w:val="clear" w:color="auto" w:fill="FFFFFF"/>
          <w:lang w:bidi="ar"/>
        </w:rPr>
        <w:t>、有关要求</w:t>
      </w:r>
    </w:p>
    <w:p>
      <w:pPr>
        <w:keepNext w:val="0"/>
        <w:keepLines w:val="0"/>
        <w:pageBreakBefore w:val="0"/>
        <w:widowControl/>
        <w:kinsoku/>
        <w:wordWrap/>
        <w:overflowPunct/>
        <w:topLinePunct w:val="0"/>
        <w:autoSpaceDE/>
        <w:autoSpaceDN/>
        <w:bidi w:val="0"/>
        <w:adjustRightInd w:val="0"/>
        <w:snapToGrid w:val="0"/>
        <w:spacing w:line="600" w:lineRule="exact"/>
        <w:ind w:firstLine="640"/>
        <w:jc w:val="both"/>
        <w:textAlignment w:val="auto"/>
        <w:rPr>
          <w:rFonts w:ascii="Times New Roman" w:hAnsi="Times New Roman" w:eastAsia="方正仿宋_GBK" w:cs="Times New Roman"/>
          <w:snapToGrid w:val="0"/>
          <w:color w:val="000000"/>
          <w:kern w:val="0"/>
          <w:sz w:val="32"/>
          <w:szCs w:val="32"/>
          <w:shd w:val="clear" w:color="auto" w:fill="FFFFFF"/>
          <w:lang w:bidi="ar"/>
        </w:rPr>
      </w:pPr>
      <w:r>
        <w:rPr>
          <w:rFonts w:ascii="Times New Roman" w:hAnsi="Times New Roman" w:eastAsia="方正仿宋_GBK" w:cs="Times New Roman"/>
          <w:snapToGrid w:val="0"/>
          <w:color w:val="000000"/>
          <w:kern w:val="0"/>
          <w:sz w:val="32"/>
          <w:szCs w:val="32"/>
          <w:shd w:val="clear" w:color="auto" w:fill="FFFFFF"/>
          <w:lang w:bidi="ar"/>
        </w:rPr>
        <w:t>（一）各公立医疗机构应按时做好医疗服务价格项目的相关调整工作，规范诊疗行为，不得扩大收费范围，凡在项目中包含的服务内容及耗材不得单独收费。各公立医疗机构要严格按规定执行明码标价和医疗费用明细清单制度，通过电子显示屏等多种方式向患者公示医疗服务价格，做好患者沟通解释工作，自觉接受社会监督。</w:t>
      </w:r>
    </w:p>
    <w:p>
      <w:pPr>
        <w:keepNext w:val="0"/>
        <w:keepLines w:val="0"/>
        <w:pageBreakBefore w:val="0"/>
        <w:widowControl/>
        <w:kinsoku/>
        <w:wordWrap/>
        <w:overflowPunct/>
        <w:topLinePunct w:val="0"/>
        <w:autoSpaceDE/>
        <w:autoSpaceDN/>
        <w:bidi w:val="0"/>
        <w:adjustRightInd w:val="0"/>
        <w:snapToGrid w:val="0"/>
        <w:spacing w:line="600" w:lineRule="exact"/>
        <w:ind w:firstLine="640"/>
        <w:jc w:val="both"/>
        <w:textAlignment w:val="auto"/>
        <w:rPr>
          <w:rFonts w:ascii="Times New Roman" w:hAnsi="Times New Roman" w:eastAsia="方正仿宋_GBK" w:cs="Times New Roman"/>
          <w:snapToGrid w:val="0"/>
          <w:color w:val="000000"/>
          <w:kern w:val="0"/>
          <w:sz w:val="32"/>
          <w:szCs w:val="32"/>
          <w:shd w:val="clear" w:color="auto" w:fill="FFFFFF"/>
          <w:lang w:bidi="ar"/>
        </w:rPr>
      </w:pPr>
      <w:r>
        <w:rPr>
          <w:rFonts w:ascii="Times New Roman" w:hAnsi="Times New Roman" w:eastAsia="方正仿宋_GBK" w:cs="Times New Roman"/>
          <w:snapToGrid w:val="0"/>
          <w:color w:val="000000"/>
          <w:kern w:val="0"/>
          <w:sz w:val="32"/>
          <w:szCs w:val="32"/>
          <w:shd w:val="clear" w:color="auto" w:fill="FFFFFF"/>
          <w:lang w:bidi="ar"/>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eastAsia="方正黑体_GBK" w:cs="Times New Roman"/>
          <w:snapToGrid w:val="0"/>
          <w:color w:val="000000"/>
          <w:kern w:val="0"/>
          <w:sz w:val="32"/>
          <w:szCs w:val="32"/>
          <w:shd w:val="clear" w:color="auto" w:fill="FFFFFF"/>
          <w:lang w:bidi="ar"/>
        </w:rPr>
      </w:pPr>
      <w:r>
        <w:rPr>
          <w:rFonts w:hint="eastAsia" w:ascii="Times New Roman" w:hAnsi="Times New Roman" w:eastAsia="方正黑体_GBK" w:cs="Times New Roman"/>
          <w:snapToGrid w:val="0"/>
          <w:color w:val="000000"/>
          <w:kern w:val="0"/>
          <w:sz w:val="32"/>
          <w:szCs w:val="32"/>
          <w:shd w:val="clear" w:color="auto" w:fill="FFFFFF"/>
          <w:lang w:bidi="ar"/>
        </w:rPr>
        <w:t>四、本通知自2026年</w:t>
      </w:r>
      <w:r>
        <w:rPr>
          <w:rFonts w:hint="eastAsia" w:ascii="Times New Roman" w:hAnsi="Times New Roman" w:eastAsia="方正黑体_GBK" w:cs="Times New Roman"/>
          <w:snapToGrid w:val="0"/>
          <w:color w:val="000000"/>
          <w:kern w:val="0"/>
          <w:sz w:val="32"/>
          <w:szCs w:val="32"/>
          <w:shd w:val="clear" w:color="auto" w:fill="FFFFFF"/>
          <w:lang w:val="en-US" w:eastAsia="zh-CN" w:bidi="ar"/>
        </w:rPr>
        <w:t>2</w:t>
      </w:r>
      <w:r>
        <w:rPr>
          <w:rFonts w:hint="eastAsia" w:ascii="Times New Roman" w:hAnsi="Times New Roman" w:eastAsia="方正黑体_GBK" w:cs="Times New Roman"/>
          <w:snapToGrid w:val="0"/>
          <w:color w:val="000000"/>
          <w:kern w:val="0"/>
          <w:sz w:val="32"/>
          <w:szCs w:val="32"/>
          <w:shd w:val="clear" w:color="auto" w:fill="FFFFFF"/>
          <w:lang w:bidi="ar"/>
        </w:rPr>
        <w:t>月</w:t>
      </w:r>
      <w:r>
        <w:rPr>
          <w:rFonts w:hint="eastAsia" w:ascii="Times New Roman" w:hAnsi="Times New Roman" w:eastAsia="方正黑体_GBK" w:cs="Times New Roman"/>
          <w:snapToGrid w:val="0"/>
          <w:color w:val="000000"/>
          <w:kern w:val="0"/>
          <w:sz w:val="32"/>
          <w:szCs w:val="32"/>
          <w:shd w:val="clear" w:color="auto" w:fill="FFFFFF"/>
          <w:lang w:val="en-US" w:eastAsia="zh-CN" w:bidi="ar"/>
        </w:rPr>
        <w:t>1</w:t>
      </w:r>
      <w:r>
        <w:rPr>
          <w:rFonts w:hint="eastAsia" w:ascii="Times New Roman" w:hAnsi="Times New Roman" w:eastAsia="方正黑体_GBK" w:cs="Times New Roman"/>
          <w:snapToGrid w:val="0"/>
          <w:color w:val="000000"/>
          <w:kern w:val="0"/>
          <w:sz w:val="32"/>
          <w:szCs w:val="32"/>
          <w:shd w:val="clear" w:color="auto" w:fill="FFFFFF"/>
          <w:lang w:bidi="ar"/>
        </w:rPr>
        <w:t>日起执行。原政策文件与本通知不符的，以本通知为准。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Times New Roman" w:hAnsi="Times New Roman" w:eastAsia="方正仿宋_GBK" w:cs="方正仿宋_GBK"/>
          <w:snapToGrid w:val="0"/>
          <w:color w:val="000000"/>
          <w:kern w:val="0"/>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color w:val="000000"/>
          <w:kern w:val="0"/>
          <w:sz w:val="32"/>
          <w:szCs w:val="32"/>
          <w:shd w:val="clear" w:color="auto" w:fill="FFFFFF"/>
          <w:lang w:bidi="ar"/>
        </w:rPr>
      </w:pPr>
      <w:r>
        <w:rPr>
          <w:rFonts w:ascii="Times New Roman" w:hAnsi="Times New Roman" w:eastAsia="方正仿宋_GBK" w:cs="Times New Roman"/>
          <w:snapToGrid w:val="0"/>
          <w:color w:val="000000"/>
          <w:kern w:val="0"/>
          <w:sz w:val="32"/>
          <w:szCs w:val="32"/>
          <w:shd w:val="clear" w:color="auto" w:fill="FFFFFF"/>
          <w:lang w:bidi="ar"/>
        </w:rPr>
        <w:t>附件：</w:t>
      </w:r>
      <w:r>
        <w:rPr>
          <w:rFonts w:ascii="Times New Roman" w:hAnsi="Times New Roman" w:eastAsia="仿宋" w:cs="Times New Roman"/>
          <w:snapToGrid w:val="0"/>
          <w:color w:val="000000"/>
          <w:kern w:val="0"/>
          <w:sz w:val="32"/>
          <w:szCs w:val="32"/>
          <w:shd w:val="clear" w:color="auto" w:fill="FFFFFF"/>
          <w:lang w:bidi="ar"/>
        </w:rPr>
        <w:t>1</w:t>
      </w:r>
      <w:r>
        <w:rPr>
          <w:rFonts w:hint="eastAsia" w:ascii="Times New Roman" w:hAnsi="Times New Roman" w:eastAsia="仿宋" w:cs="Times New Roman"/>
          <w:snapToGrid w:val="0"/>
          <w:color w:val="000000"/>
          <w:kern w:val="0"/>
          <w:sz w:val="32"/>
          <w:szCs w:val="32"/>
          <w:shd w:val="clear" w:color="auto" w:fill="FFFFFF"/>
          <w:lang w:val="en-US" w:eastAsia="zh-CN" w:bidi="ar"/>
        </w:rPr>
        <w:t>．</w:t>
      </w:r>
      <w:r>
        <w:rPr>
          <w:rFonts w:ascii="Times New Roman" w:hAnsi="Times New Roman" w:eastAsia="方正仿宋_GBK" w:cs="Times New Roman"/>
          <w:snapToGrid w:val="0"/>
          <w:color w:val="000000"/>
          <w:kern w:val="0"/>
          <w:sz w:val="32"/>
          <w:szCs w:val="32"/>
          <w:shd w:val="clear" w:color="auto" w:fill="FFFFFF"/>
          <w:lang w:bidi="ar"/>
        </w:rPr>
        <w:t>超声检查类医疗服务价格项目表</w:t>
      </w:r>
    </w:p>
    <w:p>
      <w:pPr>
        <w:keepNext w:val="0"/>
        <w:keepLines w:val="0"/>
        <w:pageBreakBefore w:val="0"/>
        <w:widowControl/>
        <w:kinsoku/>
        <w:wordWrap/>
        <w:overflowPunct/>
        <w:topLinePunct w:val="0"/>
        <w:autoSpaceDE/>
        <w:autoSpaceDN/>
        <w:bidi w:val="0"/>
        <w:adjustRightInd w:val="0"/>
        <w:snapToGrid w:val="0"/>
        <w:spacing w:line="600" w:lineRule="exact"/>
        <w:ind w:firstLine="1600" w:firstLineChars="500"/>
        <w:jc w:val="both"/>
        <w:textAlignment w:val="auto"/>
        <w:rPr>
          <w:rFonts w:ascii="Times New Roman" w:hAnsi="Times New Roman" w:eastAsia="仿宋" w:cs="Times New Roman"/>
          <w:snapToGrid w:val="0"/>
          <w:color w:val="000000"/>
          <w:kern w:val="0"/>
          <w:sz w:val="32"/>
          <w:szCs w:val="32"/>
          <w:shd w:val="clear" w:color="auto" w:fill="FFFFFF"/>
          <w:lang w:bidi="ar"/>
        </w:rPr>
      </w:pPr>
      <w:r>
        <w:rPr>
          <w:rFonts w:hint="eastAsia" w:ascii="Times New Roman" w:hAnsi="Times New Roman" w:eastAsia="仿宋" w:cs="Times New Roman"/>
          <w:snapToGrid w:val="0"/>
          <w:color w:val="000000"/>
          <w:kern w:val="0"/>
          <w:sz w:val="32"/>
          <w:szCs w:val="32"/>
          <w:shd w:val="clear" w:color="auto" w:fill="FFFFFF"/>
          <w:lang w:bidi="ar"/>
        </w:rPr>
        <w:t>2</w:t>
      </w:r>
      <w:r>
        <w:rPr>
          <w:rFonts w:hint="eastAsia" w:ascii="Times New Roman" w:hAnsi="Times New Roman" w:eastAsia="仿宋" w:cs="Times New Roman"/>
          <w:snapToGrid w:val="0"/>
          <w:color w:val="000000"/>
          <w:kern w:val="0"/>
          <w:sz w:val="32"/>
          <w:szCs w:val="32"/>
          <w:shd w:val="clear" w:color="auto" w:fill="FFFFFF"/>
          <w:lang w:eastAsia="zh-CN" w:bidi="ar"/>
        </w:rPr>
        <w:t>．</w:t>
      </w:r>
      <w:r>
        <w:rPr>
          <w:rFonts w:ascii="Times New Roman" w:hAnsi="Times New Roman" w:eastAsia="仿宋" w:cs="Times New Roman"/>
          <w:snapToGrid w:val="0"/>
          <w:color w:val="000000"/>
          <w:kern w:val="0"/>
          <w:sz w:val="32"/>
          <w:szCs w:val="32"/>
          <w:shd w:val="clear" w:color="auto" w:fill="FFFFFF"/>
          <w:lang w:bidi="ar"/>
        </w:rPr>
        <w:t>修订部分医疗服务价格项目表</w:t>
      </w:r>
    </w:p>
    <w:p>
      <w:pPr>
        <w:keepNext w:val="0"/>
        <w:keepLines w:val="0"/>
        <w:pageBreakBefore w:val="0"/>
        <w:widowControl/>
        <w:kinsoku/>
        <w:wordWrap/>
        <w:overflowPunct/>
        <w:topLinePunct w:val="0"/>
        <w:autoSpaceDE/>
        <w:autoSpaceDN/>
        <w:bidi w:val="0"/>
        <w:adjustRightInd w:val="0"/>
        <w:snapToGrid w:val="0"/>
        <w:spacing w:line="600" w:lineRule="exact"/>
        <w:ind w:firstLine="1600"/>
        <w:jc w:val="both"/>
        <w:textAlignment w:val="auto"/>
        <w:rPr>
          <w:rFonts w:ascii="Times New Roman" w:hAnsi="Times New Roman" w:eastAsia="方正仿宋_GBK" w:cs="Times New Roman"/>
          <w:snapToGrid w:val="0"/>
          <w:color w:val="000000"/>
          <w:kern w:val="0"/>
          <w:sz w:val="32"/>
          <w:szCs w:val="32"/>
          <w:shd w:val="clear" w:color="auto" w:fill="FFFFFF"/>
          <w:lang w:bidi="ar"/>
        </w:rPr>
      </w:pPr>
      <w:r>
        <w:rPr>
          <w:rFonts w:hint="eastAsia" w:ascii="Times New Roman" w:hAnsi="Times New Roman" w:eastAsia="仿宋" w:cs="Times New Roman"/>
          <w:snapToGrid w:val="0"/>
          <w:color w:val="000000"/>
          <w:kern w:val="0"/>
          <w:sz w:val="32"/>
          <w:szCs w:val="32"/>
          <w:shd w:val="clear" w:color="auto" w:fill="FFFFFF"/>
          <w:lang w:bidi="ar"/>
        </w:rPr>
        <w:t>3</w:t>
      </w:r>
      <w:r>
        <w:rPr>
          <w:rFonts w:hint="eastAsia" w:ascii="Times New Roman" w:hAnsi="Times New Roman" w:eastAsia="仿宋" w:cs="Times New Roman"/>
          <w:snapToGrid w:val="0"/>
          <w:color w:val="000000"/>
          <w:kern w:val="0"/>
          <w:sz w:val="32"/>
          <w:szCs w:val="32"/>
          <w:shd w:val="clear" w:color="auto" w:fill="FFFFFF"/>
          <w:lang w:eastAsia="zh-CN" w:bidi="ar"/>
        </w:rPr>
        <w:t>．</w:t>
      </w:r>
      <w:r>
        <w:rPr>
          <w:rFonts w:ascii="Times New Roman" w:hAnsi="Times New Roman" w:eastAsia="方正仿宋_GBK" w:cs="Times New Roman"/>
          <w:snapToGrid w:val="0"/>
          <w:color w:val="000000"/>
          <w:kern w:val="0"/>
          <w:sz w:val="32"/>
          <w:szCs w:val="32"/>
          <w:shd w:val="clear" w:color="auto" w:fill="FFFFFF"/>
          <w:lang w:bidi="ar"/>
        </w:rPr>
        <w:t>停用超声检查类医疗服务价格项目表</w:t>
      </w:r>
    </w:p>
    <w:p>
      <w:pPr>
        <w:keepNext w:val="0"/>
        <w:keepLines w:val="0"/>
        <w:pageBreakBefore w:val="0"/>
        <w:widowControl/>
        <w:kinsoku/>
        <w:wordWrap/>
        <w:overflowPunct/>
        <w:topLinePunct w:val="0"/>
        <w:autoSpaceDE/>
        <w:autoSpaceDN/>
        <w:bidi w:val="0"/>
        <w:adjustRightInd w:val="0"/>
        <w:snapToGrid w:val="0"/>
        <w:spacing w:line="600" w:lineRule="exact"/>
        <w:ind w:firstLine="5120" w:firstLineChars="1600"/>
        <w:jc w:val="both"/>
        <w:textAlignment w:val="auto"/>
        <w:rPr>
          <w:rFonts w:hint="eastAsia" w:ascii="Times New Roman" w:hAnsi="Times New Roman" w:eastAsia="方正仿宋_GBK" w:cs="Times New Roman"/>
          <w:snapToGrid w:val="0"/>
          <w:color w:val="000000"/>
          <w:kern w:val="0"/>
          <w:sz w:val="32"/>
          <w:szCs w:val="32"/>
          <w:shd w:val="clear" w:color="auto" w:fill="FFFFFF"/>
          <w:lang w:val="en-US" w:eastAsia="zh-Hans"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5120" w:firstLineChars="1600"/>
        <w:jc w:val="both"/>
        <w:textAlignment w:val="auto"/>
        <w:rPr>
          <w:rFonts w:hint="eastAsia" w:ascii="Times New Roman" w:hAnsi="Times New Roman" w:eastAsia="方正仿宋_GBK" w:cs="Times New Roman"/>
          <w:snapToGrid w:val="0"/>
          <w:color w:val="000000"/>
          <w:kern w:val="0"/>
          <w:sz w:val="32"/>
          <w:szCs w:val="32"/>
          <w:shd w:val="clear" w:color="auto" w:fill="FFFFFF"/>
          <w:lang w:val="en-US" w:eastAsia="zh-Hans" w:bidi="ar"/>
        </w:rPr>
      </w:pPr>
    </w:p>
    <w:p>
      <w:pPr>
        <w:keepNext w:val="0"/>
        <w:keepLines w:val="0"/>
        <w:pageBreakBefore w:val="0"/>
        <w:widowControl/>
        <w:kinsoku/>
        <w:wordWrap/>
        <w:overflowPunct/>
        <w:topLinePunct w:val="0"/>
        <w:autoSpaceDE/>
        <w:autoSpaceDN/>
        <w:bidi w:val="0"/>
        <w:adjustRightInd w:val="0"/>
        <w:snapToGrid w:val="0"/>
        <w:spacing w:line="600" w:lineRule="exact"/>
        <w:ind w:right="1050" w:rightChars="500" w:firstLine="0" w:firstLineChars="0"/>
        <w:jc w:val="right"/>
        <w:textAlignment w:val="auto"/>
        <w:rPr>
          <w:rFonts w:hint="eastAsia" w:ascii="Times New Roman" w:hAnsi="Times New Roman" w:eastAsia="方正仿宋_GBK" w:cs="Times New Roman"/>
          <w:snapToGrid w:val="0"/>
          <w:color w:val="000000"/>
          <w:kern w:val="0"/>
          <w:sz w:val="32"/>
          <w:szCs w:val="32"/>
          <w:shd w:val="clear" w:color="auto" w:fill="FFFFFF"/>
          <w:lang w:val="en-US" w:eastAsia="zh-Hans" w:bidi="ar"/>
        </w:rPr>
      </w:pPr>
      <w:r>
        <w:rPr>
          <w:rFonts w:hint="eastAsia" w:ascii="Times New Roman" w:hAnsi="Times New Roman" w:eastAsia="方正仿宋_GBK" w:cs="Times New Roman"/>
          <w:snapToGrid w:val="0"/>
          <w:color w:val="000000"/>
          <w:kern w:val="0"/>
          <w:sz w:val="32"/>
          <w:szCs w:val="32"/>
          <w:shd w:val="clear" w:color="auto" w:fill="FFFFFF"/>
          <w:lang w:val="en-US" w:eastAsia="zh-Hans" w:bidi="ar"/>
        </w:rPr>
        <w:t>重庆市医疗保障局</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412" w:firstLineChars="129"/>
        <w:jc w:val="both"/>
        <w:textAlignment w:val="auto"/>
        <w:rPr>
          <w:rFonts w:hint="eastAsia" w:ascii="Times New Roman" w:hAnsi="Times New Roman" w:eastAsia="方正仿宋_GBK" w:cs="Times New Roman"/>
          <w:snapToGrid w:val="0"/>
          <w:color w:val="000000"/>
          <w:kern w:val="0"/>
          <w:sz w:val="32"/>
          <w:szCs w:val="32"/>
          <w:shd w:val="clear" w:color="auto" w:fill="FFFFFF"/>
          <w:lang w:eastAsia="zh-Hans" w:bidi="ar"/>
        </w:rPr>
      </w:pPr>
      <w:r>
        <w:rPr>
          <w:rFonts w:hint="eastAsia" w:ascii="Times New Roman" w:hAnsi="Times New Roman" w:eastAsia="方正仿宋_GBK" w:cs="Times New Roman"/>
          <w:snapToGrid w:val="0"/>
          <w:color w:val="000000"/>
          <w:kern w:val="0"/>
          <w:sz w:val="32"/>
          <w:szCs w:val="32"/>
          <w:shd w:val="clear" w:color="auto" w:fill="FFFFFF"/>
          <w:lang w:eastAsia="zh-CN" w:bidi="ar"/>
        </w:rPr>
        <w:t>　　　　　　　　　　　　　　　</w:t>
      </w:r>
      <w:r>
        <w:rPr>
          <w:rFonts w:hint="default" w:ascii="Times New Roman" w:hAnsi="Times New Roman" w:eastAsia="方正仿宋_GBK" w:cs="Times New Roman"/>
          <w:snapToGrid w:val="0"/>
          <w:color w:val="000000"/>
          <w:kern w:val="0"/>
          <w:sz w:val="32"/>
          <w:szCs w:val="32"/>
          <w:shd w:val="clear" w:color="auto" w:fill="FFFFFF"/>
          <w:lang w:eastAsia="zh-Hans" w:bidi="ar"/>
        </w:rPr>
        <w:t>2025</w:t>
      </w:r>
      <w:r>
        <w:rPr>
          <w:rFonts w:hint="eastAsia" w:ascii="Times New Roman" w:hAnsi="Times New Roman" w:eastAsia="方正仿宋_GBK" w:cs="Times New Roman"/>
          <w:snapToGrid w:val="0"/>
          <w:color w:val="000000"/>
          <w:kern w:val="0"/>
          <w:sz w:val="32"/>
          <w:szCs w:val="32"/>
          <w:shd w:val="clear" w:color="auto" w:fill="FFFFFF"/>
          <w:lang w:val="en-US" w:eastAsia="zh-Hans" w:bidi="ar"/>
        </w:rPr>
        <w:t>年</w:t>
      </w:r>
      <w:r>
        <w:rPr>
          <w:rFonts w:hint="default" w:ascii="Times New Roman" w:hAnsi="Times New Roman" w:eastAsia="方正仿宋_GBK" w:cs="Times New Roman"/>
          <w:snapToGrid w:val="0"/>
          <w:color w:val="000000"/>
          <w:kern w:val="0"/>
          <w:sz w:val="32"/>
          <w:szCs w:val="32"/>
          <w:shd w:val="clear" w:color="auto" w:fill="FFFFFF"/>
          <w:lang w:eastAsia="zh-Hans" w:bidi="ar"/>
        </w:rPr>
        <w:t>11</w:t>
      </w:r>
      <w:r>
        <w:rPr>
          <w:rFonts w:hint="eastAsia" w:ascii="Times New Roman" w:hAnsi="Times New Roman" w:eastAsia="方正仿宋_GBK" w:cs="Times New Roman"/>
          <w:snapToGrid w:val="0"/>
          <w:color w:val="000000"/>
          <w:kern w:val="0"/>
          <w:sz w:val="32"/>
          <w:szCs w:val="32"/>
          <w:shd w:val="clear" w:color="auto" w:fill="FFFFFF"/>
          <w:lang w:val="en-US" w:eastAsia="zh-Hans" w:bidi="ar"/>
        </w:rPr>
        <w:t>月</w:t>
      </w:r>
      <w:r>
        <w:rPr>
          <w:rFonts w:hint="default" w:ascii="Times New Roman" w:hAnsi="Times New Roman" w:eastAsia="方正仿宋_GBK" w:cs="Times New Roman"/>
          <w:snapToGrid w:val="0"/>
          <w:color w:val="000000"/>
          <w:kern w:val="0"/>
          <w:sz w:val="32"/>
          <w:szCs w:val="32"/>
          <w:shd w:val="clear" w:color="auto" w:fill="FFFFFF"/>
          <w:lang w:val="en-US" w:eastAsia="zh-Hans" w:bidi="ar"/>
        </w:rPr>
        <w:t>24</w:t>
      </w:r>
      <w:r>
        <w:rPr>
          <w:rFonts w:hint="eastAsia" w:ascii="Times New Roman" w:hAnsi="Times New Roman" w:eastAsia="方正仿宋_GBK" w:cs="Times New Roman"/>
          <w:snapToGrid w:val="0"/>
          <w:color w:val="000000"/>
          <w:kern w:val="0"/>
          <w:sz w:val="32"/>
          <w:szCs w:val="32"/>
          <w:shd w:val="clear" w:color="auto" w:fill="FFFFFF"/>
          <w:lang w:val="en-US" w:eastAsia="zh-Hans" w:bidi="ar"/>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方正仿宋_GBK" w:hAnsi="Calibri" w:eastAsia="方正仿宋_GBK" w:cs="Times New Roman"/>
          <w:sz w:val="32"/>
          <w:szCs w:val="20"/>
        </w:rPr>
      </w:pPr>
      <w:r>
        <w:rPr>
          <w:rFonts w:hint="eastAsia" w:ascii="方正仿宋_GBK" w:hAnsi="Calibri" w:eastAsia="方正仿宋_GBK" w:cs="Times New Roman"/>
          <w:sz w:val="32"/>
          <w:szCs w:val="20"/>
        </w:rPr>
        <w:t>（</w:t>
      </w:r>
      <w:bookmarkStart w:id="0" w:name="公开发送"/>
      <w:r>
        <w:rPr>
          <w:rFonts w:hint="eastAsia" w:ascii="方正仿宋_GBK" w:hAnsi="Calibri" w:eastAsia="方正仿宋_GBK" w:cs="Times New Roman"/>
          <w:sz w:val="32"/>
          <w:szCs w:val="20"/>
          <w:lang w:val="en-US" w:eastAsia="zh-CN"/>
        </w:rPr>
        <w:t>此件</w:t>
      </w:r>
      <w:bookmarkEnd w:id="0"/>
      <w:r>
        <w:rPr>
          <w:rFonts w:hint="eastAsia" w:ascii="方正仿宋_GBK" w:hAnsi="Calibri" w:eastAsia="方正仿宋_GBK" w:cs="Times New Roman"/>
          <w:sz w:val="32"/>
          <w:szCs w:val="20"/>
          <w:lang w:eastAsia="zh-CN"/>
        </w:rPr>
        <w:t>公开发布</w:t>
      </w:r>
      <w:r>
        <w:rPr>
          <w:rFonts w:hint="eastAsia" w:ascii="方正仿宋_GBK" w:hAnsi="Calibri" w:eastAsia="方正仿宋_GBK" w:cs="Times New Roman"/>
          <w:sz w:val="32"/>
          <w:szCs w:val="20"/>
        </w:rPr>
        <w:t>）</w:t>
      </w:r>
    </w:p>
    <w:p>
      <w:pPr>
        <w:pStyle w:val="2"/>
        <w:rPr>
          <w:rFonts w:hint="eastAsia"/>
          <w:lang w:val="en-US" w:eastAsia="zh-CN"/>
        </w:rPr>
      </w:pPr>
    </w:p>
    <w:p>
      <w:pPr>
        <w:rPr>
          <w:rFonts w:hint="eastAsia"/>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7" w:charSpace="0"/>
        </w:sectPr>
      </w:pP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宋体" w:hAnsi="宋体" w:eastAsia="宋体" w:cs="Times New Roman"/>
          <w:color w:val="000000"/>
          <w:sz w:val="36"/>
          <w:szCs w:val="56"/>
          <w:lang w:val="en-US" w:eastAsia="zh-CN"/>
        </w:rPr>
      </w:pPr>
      <w:r>
        <w:rPr>
          <w:rFonts w:hint="eastAsia" w:ascii="Times New Roman" w:hAnsi="Times New Roman" w:eastAsia="方正黑体_GBK" w:cs="Times New Roman"/>
          <w:snapToGrid w:val="0"/>
          <w:color w:val="000000"/>
          <w:kern w:val="0"/>
          <w:sz w:val="32"/>
          <w:szCs w:val="32"/>
          <w:shd w:val="clear" w:color="auto" w:fill="FFFFFF"/>
          <w:lang w:bidi="ar"/>
        </w:rPr>
        <w:t>附件1</w:t>
      </w:r>
      <w:r>
        <w:rPr>
          <w:rFonts w:hint="eastAsia" w:ascii="Times New Roman" w:hAnsi="Times New Roman" w:eastAsia="方正黑体_GBK" w:cs="Times New Roman"/>
          <w:snapToGrid w:val="0"/>
          <w:color w:val="000000"/>
          <w:kern w:val="0"/>
          <w:sz w:val="32"/>
          <w:szCs w:val="32"/>
          <w:shd w:val="clear" w:color="auto" w:fill="FFFFFF"/>
          <w:lang w:val="en-US" w:eastAsia="zh-CN" w:bidi="ar"/>
        </w:rPr>
        <w:t xml:space="preserve">  </w:t>
      </w:r>
      <w:r>
        <w:rPr>
          <w:rFonts w:hint="eastAsia" w:ascii="宋体" w:hAnsi="宋体" w:eastAsia="宋体" w:cs="Times New Roman"/>
          <w:color w:val="000000"/>
          <w:sz w:val="36"/>
          <w:szCs w:val="56"/>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宋体" w:hAnsi="宋体" w:eastAsia="宋体" w:cs="Times New Roman"/>
          <w:color w:val="000000"/>
          <w:sz w:val="36"/>
          <w:szCs w:val="56"/>
          <w:lang w:val="en-US" w:eastAsia="zh-CN"/>
        </w:rPr>
      </w:pPr>
      <w:r>
        <w:rPr>
          <w:rFonts w:hint="eastAsia" w:ascii="方正小标宋_GBK" w:hAnsi="方正小标宋_GBK" w:eastAsia="方正小标宋_GBK" w:cs="方正小标宋_GBK"/>
          <w:color w:val="000000"/>
          <w:sz w:val="44"/>
          <w:szCs w:val="44"/>
        </w:rPr>
        <w:t>超声检查类医疗服务价格项目表</w:t>
      </w:r>
    </w:p>
    <w:tbl>
      <w:tblPr>
        <w:tblStyle w:val="8"/>
        <w:tblW w:w="50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8"/>
        <w:gridCol w:w="1266"/>
        <w:gridCol w:w="1113"/>
        <w:gridCol w:w="1880"/>
        <w:gridCol w:w="2215"/>
        <w:gridCol w:w="674"/>
        <w:gridCol w:w="2105"/>
        <w:gridCol w:w="603"/>
        <w:gridCol w:w="603"/>
        <w:gridCol w:w="603"/>
        <w:gridCol w:w="910"/>
        <w:gridCol w:w="490"/>
        <w:gridCol w:w="544"/>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blHeader/>
        </w:trPr>
        <w:tc>
          <w:tcPr>
            <w:tcW w:w="152"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序号</w:t>
            </w:r>
          </w:p>
        </w:tc>
        <w:tc>
          <w:tcPr>
            <w:tcW w:w="449"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项目编码</w:t>
            </w:r>
          </w:p>
        </w:tc>
        <w:tc>
          <w:tcPr>
            <w:tcW w:w="395"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项目名称</w:t>
            </w:r>
          </w:p>
        </w:tc>
        <w:tc>
          <w:tcPr>
            <w:tcW w:w="667"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服务产出</w:t>
            </w:r>
          </w:p>
        </w:tc>
        <w:tc>
          <w:tcPr>
            <w:tcW w:w="786"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价格构成</w:t>
            </w:r>
          </w:p>
        </w:tc>
        <w:tc>
          <w:tcPr>
            <w:tcW w:w="239"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计价单位</w:t>
            </w:r>
          </w:p>
        </w:tc>
        <w:tc>
          <w:tcPr>
            <w:tcW w:w="747"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计价说明</w:t>
            </w:r>
          </w:p>
        </w:tc>
        <w:tc>
          <w:tcPr>
            <w:tcW w:w="965" w:type="pct"/>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18"/>
                <w:szCs w:val="24"/>
              </w:rPr>
            </w:pPr>
            <w:r>
              <w:rPr>
                <w:rFonts w:hint="eastAsia" w:ascii="Times New Roman" w:hAnsi="Times New Roman" w:eastAsia="方正黑体_GBK" w:cs="方正黑体_GBK"/>
                <w:snapToGrid w:val="0"/>
                <w:color w:val="000000"/>
                <w:sz w:val="18"/>
                <w:szCs w:val="24"/>
              </w:rPr>
              <w:t>政府指导价</w:t>
            </w:r>
          </w:p>
        </w:tc>
        <w:tc>
          <w:tcPr>
            <w:tcW w:w="174"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医保属性</w:t>
            </w:r>
          </w:p>
        </w:tc>
        <w:tc>
          <w:tcPr>
            <w:tcW w:w="193"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医保支付限制</w:t>
            </w:r>
          </w:p>
        </w:tc>
        <w:tc>
          <w:tcPr>
            <w:tcW w:w="228"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152"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449"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395"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667"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786"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239"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747"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18"/>
                <w:szCs w:val="24"/>
                <w:lang w:eastAsia="zh-CN"/>
              </w:rPr>
            </w:pPr>
            <w:r>
              <w:rPr>
                <w:rFonts w:hint="eastAsia" w:ascii="Times New Roman" w:hAnsi="Times New Roman" w:eastAsia="方正黑体_GBK" w:cs="方正黑体_GBK"/>
                <w:snapToGrid w:val="0"/>
                <w:color w:val="000000"/>
                <w:sz w:val="18"/>
                <w:szCs w:val="24"/>
              </w:rPr>
              <w:t>三级</w:t>
            </w:r>
            <w:r>
              <w:rPr>
                <w:rFonts w:hint="eastAsia" w:ascii="Times New Roman" w:hAnsi="Times New Roman" w:eastAsia="方正黑体_GBK" w:cs="方正黑体_GBK"/>
                <w:snapToGrid w:val="0"/>
                <w:color w:val="000000"/>
                <w:sz w:val="18"/>
                <w:szCs w:val="24"/>
                <w:lang w:eastAsia="zh-CN"/>
              </w:rPr>
              <w:t>医院</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18"/>
                <w:szCs w:val="24"/>
                <w:lang w:eastAsia="zh-CN"/>
              </w:rPr>
            </w:pPr>
            <w:r>
              <w:rPr>
                <w:rFonts w:hint="eastAsia" w:ascii="Times New Roman" w:hAnsi="Times New Roman" w:eastAsia="方正黑体_GBK" w:cs="方正黑体_GBK"/>
                <w:snapToGrid w:val="0"/>
                <w:color w:val="000000"/>
                <w:sz w:val="18"/>
                <w:szCs w:val="24"/>
              </w:rPr>
              <w:t>二级</w:t>
            </w:r>
            <w:r>
              <w:rPr>
                <w:rFonts w:hint="eastAsia" w:ascii="Times New Roman" w:hAnsi="Times New Roman" w:eastAsia="方正黑体_GBK" w:cs="方正黑体_GBK"/>
                <w:snapToGrid w:val="0"/>
                <w:color w:val="000000"/>
                <w:sz w:val="18"/>
                <w:szCs w:val="24"/>
                <w:lang w:eastAsia="zh-CN"/>
              </w:rPr>
              <w:t>医院</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18"/>
                <w:szCs w:val="24"/>
                <w:lang w:eastAsia="zh-CN"/>
              </w:rPr>
            </w:pPr>
            <w:r>
              <w:rPr>
                <w:rFonts w:hint="eastAsia" w:ascii="Times New Roman" w:hAnsi="Times New Roman" w:eastAsia="方正黑体_GBK" w:cs="方正黑体_GBK"/>
                <w:snapToGrid w:val="0"/>
                <w:color w:val="000000"/>
                <w:sz w:val="18"/>
                <w:szCs w:val="24"/>
              </w:rPr>
              <w:t>一级</w:t>
            </w:r>
            <w:r>
              <w:rPr>
                <w:rFonts w:hint="eastAsia" w:ascii="Times New Roman" w:hAnsi="Times New Roman" w:eastAsia="方正黑体_GBK" w:cs="方正黑体_GBK"/>
                <w:snapToGrid w:val="0"/>
                <w:color w:val="000000"/>
                <w:sz w:val="18"/>
                <w:szCs w:val="24"/>
                <w:lang w:eastAsia="zh-CN"/>
              </w:rPr>
              <w:t>医院</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18"/>
                <w:szCs w:val="24"/>
                <w:lang w:eastAsia="zh-CN"/>
              </w:rPr>
            </w:pPr>
            <w:r>
              <w:rPr>
                <w:rFonts w:hint="eastAsia" w:ascii="Times New Roman" w:hAnsi="Times New Roman" w:eastAsia="方正黑体_GBK" w:cs="方正黑体_GBK"/>
                <w:snapToGrid w:val="0"/>
                <w:color w:val="000000"/>
                <w:sz w:val="18"/>
                <w:szCs w:val="24"/>
                <w:lang w:eastAsia="zh-CN"/>
              </w:rPr>
              <w:t>其他医疗机构（含基层医疗机构）</w:t>
            </w:r>
          </w:p>
        </w:tc>
        <w:tc>
          <w:tcPr>
            <w:tcW w:w="174"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193"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228"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使用说明：</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以超声检查为重点，按检查方式的服务产出设立价格项目。所定价格属于政府指导价为最高限价，下浮不限；同时，医疗机构、医务人员实施超声检查过程中有关创新改良，采取“现有项目兼容”的方式简化处理，无需申报新增医疗服务价格项目，直接按照对应的整合项目执行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2.“价格构成”，指项目价格应涵盖的各类资源消耗，用于确定计价单元的边界，不应作为临床技术标准理解，不是实际操作方式、路径、步骤、程序的强制性要求。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3.“加收项”，指同一项目以不同方式提供或在不同场景应用时，确有必要制定差异化收费标准而细分的一类子项，实际应用中，同时涉及多个加收项的，以项目单价为基础计算相应的加/减收水平后，据实收费。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4.“扩展项”，指同一项目下以不同方式提供或在不同场景应用时，只扩展价格项目适用范围、不额外加价的一类子项，子项的价格按主项目执行。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single" w:color="auto" w:sz="4"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基本物耗”指原则上限于不应或不必要与医疗服务项目分割的易耗品，包括但不限于各类消杀用品、储存用品、清洁用品、个人防护用品、垃圾处理用品、润滑剂、护（尿）垫、治疗巾（单）、中单、标签、无菌设备保护套、耦合剂、可复用的操作器具、软件（版权、开发、购买）成本等。基本物耗成本计入项目价格，不另行收费。除基本物耗以外的其他耗材，按照实际采购价格零差率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52" w:type="pct"/>
            <w:tcBorders>
              <w:top w:val="single" w:color="auto" w:sz="4" w:space="0"/>
              <w:left w:val="single" w:color="auto" w:sz="4" w:space="0"/>
              <w:bottom w:val="single" w:color="auto" w:sz="4"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4" w:space="0"/>
              <w:left w:val="single" w:color="auto" w:sz="6"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6.“床旁检查”，指因患者病情危重或无法自行前往检查科室，由检查科室人员移动设备至患者病床旁进行检查。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4" w:space="0"/>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B型超声检查”和“彩色多普勒超声检查（常规）”中的“部位”，指颅脑、涎腺（含腮腺、颌下腺、引流区淋巴结）、甲状腺（含甲状旁腺、颈部淋巴结）、五官、胸部、腹部（含肝胆胰脾）、胃肠道（含胃、大肠、小肠、肠系膜）、腹膜后（含肾上腺、腹膜后淋巴结）、泌尿系（含肾、输尿管、膀胱、前列腺）、女性生殖系统、男性生殖系统、盆底、乳腺（双侧，含引流区淋巴结）、关节、体表软组织、浅表淋巴结（含颈部、腋窝、腹腔、腹股沟）、周围神经、其他。关节具体指：单个大关节（如：肩、肘、腕、髋、膝、踝关节）、颈椎、胸椎、腰椎、单侧手掌部及指间关节、单侧足跖趾及趾间关节、单侧颞颌关节、单侧肩锁关节、胸锁关节。应开展双侧超声检查，实际情况中单侧开展的，减半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彩色多普勒超声检查（血管）”和“超声造影（血管）”中的“部位”，指双侧球后血管、双侧颈动脉、双侧锁骨下动脉、双侧椎动脉、腹主动脉、肠系膜动脉、子宫动脉、单侧上肢动脉、单侧下肢动脉、双侧肾动脉、腹腔动脉（含腹腔动脉、脾动脉、肝动脉）、双侧髂动脉、双侧足动脉、双侧颈静脉、单侧上肢静脉、下腔静脉、肝静脉、门脉系统（含门静脉、脾静脉、肠系膜上静脉）、双侧肾静脉、双侧髂静脉、单侧下肢静脉、体表血管、双侧精索静脉等。应开展双侧超声检查，实际情况中单侧开展的，减半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9.“对比剂”含药品及非药品类对比剂，非药品类对比剂包含在价格构成中，药品类对比剂按药品管理收费。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10.涉及的对比分析类检查类项目，可按照实际检查次数收费，例如胆囊和胆道收缩功能检查、膀胱残余尿量检查等，可在出具报告时体现两次检查的不同结论。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11.“人工智能辅助诊断”是指应用人工智能技术辅助进行的超声检查诊断，不得与主项目同时收费。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12.本指南中涉及“包括……”“……等”的，属于开放型表述，所指对象不仅局限于表述中列明的事项，也包括未列明的同类事项。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13.术中需行各类超声检查的，按本立项指南中相应项目进行收费，各类引导项目拟在辅助操作立项指南中另行立项。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14.在诊疗项目服务中，除另有规定的，不足一个计价单位的按一个计价单位计算；一个服务项目在同一时间经多次操作方能完成，也应按一次计价。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A型超声检查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012302010010000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A型超声检查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通过A型超声技术，对组织器官进行超声成像及诊断。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所定价格涵盖设备调试、超声检查、数据分析、数据存储、出具诊断结果（含图文报告）等所需的人力资源和基本物质资源消耗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单侧</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23.6</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20.4</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19.3</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230202</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B型超声检查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B型超声检查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通过B型超声技术，对组织器官及病灶进行超声成像及诊断。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1.床旁检查加收20元/次。</w:t>
            </w:r>
          </w:p>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2.腔内检查加收30元。</w:t>
            </w:r>
          </w:p>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3.立体成像加收30元。</w:t>
            </w:r>
          </w:p>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4.排卵监测按50%收费。</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44.3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40.3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38.3</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36.2</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lang w:eastAsia="zh-CN"/>
              </w:rPr>
            </w:pPr>
            <w:r>
              <w:rPr>
                <w:rFonts w:hint="eastAsia" w:ascii="Times New Roman" w:hAnsi="Times New Roman" w:eastAsia="宋体" w:cs="Times New Roman"/>
                <w:snapToGrid w:val="0"/>
                <w:color w:val="000000"/>
                <w:sz w:val="14"/>
                <w:szCs w:val="24"/>
              </w:rPr>
              <w:t>B型超声检查-床旁检查</w:t>
            </w:r>
            <w:r>
              <w:rPr>
                <w:rFonts w:hint="eastAsia" w:ascii="Times New Roman" w:hAnsi="Times New Roman" w:eastAsia="宋体" w:cs="Times New Roman"/>
                <w:snapToGrid w:val="0"/>
                <w:color w:val="000000"/>
                <w:sz w:val="14"/>
                <w:szCs w:val="24"/>
                <w:lang w:eastAsia="zh-CN"/>
              </w:rPr>
              <w:t>（</w:t>
            </w:r>
            <w:r>
              <w:rPr>
                <w:rFonts w:hint="eastAsia" w:ascii="Times New Roman" w:hAnsi="Times New Roman" w:eastAsia="宋体" w:cs="Times New Roman"/>
                <w:snapToGrid w:val="0"/>
                <w:color w:val="000000"/>
                <w:sz w:val="14"/>
                <w:szCs w:val="24"/>
              </w:rPr>
              <w:t>加收</w:t>
            </w:r>
            <w:r>
              <w:rPr>
                <w:rFonts w:hint="eastAsia" w:ascii="Times New Roman" w:hAnsi="Times New Roman" w:eastAsia="宋体" w:cs="Times New Roman"/>
                <w:snapToGrid w:val="0"/>
                <w:color w:val="000000"/>
                <w:sz w:val="14"/>
                <w:szCs w:val="24"/>
                <w:lang w:eastAsia="zh-CN"/>
              </w:rPr>
              <w:t>）</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通过B型超声技术，在床旁对组织器官及病灶进行超声成像及诊断。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15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w:t>
            </w:r>
          </w:p>
        </w:tc>
        <w:tc>
          <w:tcPr>
            <w:tcW w:w="44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012302020010011</w:t>
            </w:r>
          </w:p>
        </w:tc>
        <w:tc>
          <w:tcPr>
            <w:tcW w:w="39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lang w:eastAsia="zh-CN"/>
              </w:rPr>
            </w:pPr>
            <w:r>
              <w:rPr>
                <w:rFonts w:hint="eastAsia" w:ascii="Times New Roman" w:hAnsi="Times New Roman" w:eastAsia="宋体" w:cs="Times New Roman"/>
                <w:snapToGrid w:val="0"/>
                <w:color w:val="000000"/>
                <w:sz w:val="14"/>
                <w:szCs w:val="24"/>
              </w:rPr>
              <w:t>B型超声检查-腔内检查</w:t>
            </w:r>
            <w:r>
              <w:rPr>
                <w:rFonts w:hint="eastAsia" w:ascii="Times New Roman" w:hAnsi="Times New Roman" w:eastAsia="宋体" w:cs="Times New Roman"/>
                <w:snapToGrid w:val="0"/>
                <w:color w:val="000000"/>
                <w:sz w:val="14"/>
                <w:szCs w:val="24"/>
                <w:lang w:eastAsia="zh-CN"/>
              </w:rPr>
              <w:t>（</w:t>
            </w:r>
            <w:r>
              <w:rPr>
                <w:rFonts w:hint="eastAsia" w:ascii="Times New Roman" w:hAnsi="Times New Roman" w:eastAsia="宋体" w:cs="Times New Roman"/>
                <w:snapToGrid w:val="0"/>
                <w:color w:val="000000"/>
                <w:sz w:val="14"/>
                <w:szCs w:val="24"/>
              </w:rPr>
              <w:t>加收</w:t>
            </w:r>
            <w:r>
              <w:rPr>
                <w:rFonts w:hint="eastAsia" w:ascii="Times New Roman" w:hAnsi="Times New Roman" w:eastAsia="宋体" w:cs="Times New Roman"/>
                <w:snapToGrid w:val="0"/>
                <w:color w:val="000000"/>
                <w:sz w:val="14"/>
                <w:szCs w:val="24"/>
                <w:lang w:eastAsia="zh-CN"/>
              </w:rPr>
              <w:t>）</w:t>
            </w:r>
          </w:p>
        </w:tc>
        <w:tc>
          <w:tcPr>
            <w:tcW w:w="66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汉仪书宋二KW" w:cs="Times New Roman"/>
                <w:snapToGrid w:val="0"/>
                <w:color w:val="000000"/>
                <w:sz w:val="14"/>
                <w:szCs w:val="24"/>
              </w:rPr>
            </w:pPr>
            <w:r>
              <w:rPr>
                <w:rFonts w:hint="eastAsia" w:ascii="Times New Roman" w:hAnsi="Times New Roman" w:eastAsia="汉仪书宋二KW" w:cs="Times New Roman"/>
                <w:snapToGrid w:val="0"/>
                <w:color w:val="000000"/>
                <w:sz w:val="14"/>
                <w:szCs w:val="24"/>
              </w:rPr>
              <w:t>“部位”指人体自然腔道。以经人体自然腔道数量为限进行收费，一次检查经过同一腔道进行多部位检查时，只计费1次。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012302020010021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lang w:eastAsia="zh-CN"/>
              </w:rPr>
            </w:pPr>
            <w:r>
              <w:rPr>
                <w:rFonts w:hint="eastAsia" w:ascii="Times New Roman" w:hAnsi="Times New Roman" w:eastAsia="宋体" w:cs="Times New Roman"/>
                <w:snapToGrid w:val="0"/>
                <w:color w:val="000000"/>
                <w:sz w:val="14"/>
                <w:szCs w:val="24"/>
              </w:rPr>
              <w:t>B型超声检查-立体成像</w:t>
            </w:r>
            <w:r>
              <w:rPr>
                <w:rFonts w:hint="eastAsia" w:ascii="Times New Roman" w:hAnsi="Times New Roman" w:eastAsia="宋体" w:cs="Times New Roman"/>
                <w:snapToGrid w:val="0"/>
                <w:color w:val="000000"/>
                <w:sz w:val="14"/>
                <w:szCs w:val="24"/>
                <w:lang w:eastAsia="zh-CN"/>
              </w:rPr>
              <w:t>（</w:t>
            </w:r>
            <w:r>
              <w:rPr>
                <w:rFonts w:hint="eastAsia" w:ascii="Times New Roman" w:hAnsi="Times New Roman" w:eastAsia="宋体" w:cs="Times New Roman"/>
                <w:snapToGrid w:val="0"/>
                <w:color w:val="000000"/>
                <w:sz w:val="14"/>
                <w:szCs w:val="24"/>
              </w:rPr>
              <w:t>加收</w:t>
            </w:r>
            <w:r>
              <w:rPr>
                <w:rFonts w:hint="eastAsia" w:ascii="Times New Roman" w:hAnsi="Times New Roman" w:eastAsia="宋体" w:cs="Times New Roman"/>
                <w:snapToGrid w:val="0"/>
                <w:color w:val="000000"/>
                <w:sz w:val="14"/>
                <w:szCs w:val="24"/>
                <w:lang w:eastAsia="zh-CN"/>
              </w:rPr>
              <w:t>）</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通过B型超声技术，对组织器官及病灶进行超声立体成像及诊断。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6</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012302020010031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lang w:eastAsia="zh-CN"/>
              </w:rPr>
            </w:pPr>
            <w:r>
              <w:rPr>
                <w:rFonts w:hint="eastAsia" w:ascii="Times New Roman" w:hAnsi="Times New Roman" w:eastAsia="宋体" w:cs="Times New Roman"/>
                <w:snapToGrid w:val="0"/>
                <w:color w:val="000000"/>
                <w:sz w:val="14"/>
                <w:szCs w:val="24"/>
              </w:rPr>
              <w:t>B型超声检查-排卵监测</w:t>
            </w:r>
            <w:r>
              <w:rPr>
                <w:rFonts w:hint="eastAsia" w:ascii="Times New Roman" w:hAnsi="Times New Roman" w:eastAsia="宋体" w:cs="Times New Roman"/>
                <w:snapToGrid w:val="0"/>
                <w:color w:val="000000"/>
                <w:sz w:val="14"/>
                <w:szCs w:val="24"/>
                <w:lang w:eastAsia="zh-CN"/>
              </w:rPr>
              <w:t>（</w:t>
            </w:r>
            <w:r>
              <w:rPr>
                <w:rFonts w:hint="eastAsia" w:ascii="Times New Roman" w:hAnsi="Times New Roman" w:eastAsia="宋体" w:cs="Times New Roman"/>
                <w:snapToGrid w:val="0"/>
                <w:color w:val="000000"/>
                <w:sz w:val="14"/>
                <w:szCs w:val="24"/>
              </w:rPr>
              <w:t>减收</w:t>
            </w:r>
            <w:r>
              <w:rPr>
                <w:rFonts w:hint="eastAsia" w:ascii="Times New Roman" w:hAnsi="Times New Roman" w:eastAsia="宋体" w:cs="Times New Roman"/>
                <w:snapToGrid w:val="0"/>
                <w:color w:val="000000"/>
                <w:sz w:val="14"/>
                <w:szCs w:val="24"/>
                <w:lang w:eastAsia="zh-CN"/>
              </w:rPr>
              <w:t>）</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通过B型超声技术，进行排卵监测。</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22.1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19.1</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18.1</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lang w:eastAsia="zh-CN"/>
              </w:rPr>
            </w:pPr>
            <w:r>
              <w:rPr>
                <w:rFonts w:hint="eastAsia" w:ascii="Times New Roman" w:hAnsi="Times New Roman" w:eastAsia="宋体" w:cs="Times New Roman"/>
                <w:snapToGrid w:val="0"/>
                <w:color w:val="000000"/>
                <w:sz w:val="14"/>
                <w:szCs w:val="24"/>
              </w:rPr>
              <w:t>B型超声检查-人工智能辅助诊断</w:t>
            </w:r>
            <w:r>
              <w:rPr>
                <w:rFonts w:hint="eastAsia" w:ascii="Times New Roman" w:hAnsi="Times New Roman" w:eastAsia="宋体" w:cs="Times New Roman"/>
                <w:snapToGrid w:val="0"/>
                <w:color w:val="000000"/>
                <w:sz w:val="14"/>
                <w:szCs w:val="24"/>
                <w:lang w:eastAsia="zh-CN"/>
              </w:rPr>
              <w:t>（</w:t>
            </w:r>
            <w:r>
              <w:rPr>
                <w:rFonts w:hint="eastAsia" w:ascii="Times New Roman" w:hAnsi="Times New Roman" w:eastAsia="宋体" w:cs="Times New Roman"/>
                <w:snapToGrid w:val="0"/>
                <w:color w:val="000000"/>
                <w:sz w:val="14"/>
                <w:szCs w:val="24"/>
              </w:rPr>
              <w:t>扩展</w:t>
            </w:r>
            <w:r>
              <w:rPr>
                <w:rFonts w:hint="eastAsia" w:ascii="Times New Roman" w:hAnsi="Times New Roman" w:eastAsia="宋体" w:cs="Times New Roman"/>
                <w:snapToGrid w:val="0"/>
                <w:color w:val="000000"/>
                <w:sz w:val="14"/>
                <w:szCs w:val="24"/>
                <w:lang w:eastAsia="zh-CN"/>
              </w:rPr>
              <w:t>）</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通过B型超声技术，对组织器官及病灶进行超声成像及诊断。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44.3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40.3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38.3</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36.2</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230203</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1.床旁检查加收20元/次。</w:t>
            </w:r>
          </w:p>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2.腔内检查加收30元。</w:t>
            </w:r>
          </w:p>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3.立体成像加收30元。</w:t>
            </w:r>
          </w:p>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4.排卵监测按50%收费。</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99</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85.5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81</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通过彩色多普勒超声技术，在床旁对组织器官及病灶进行超声成像及诊断。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10</w:t>
            </w:r>
          </w:p>
        </w:tc>
        <w:tc>
          <w:tcPr>
            <w:tcW w:w="44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012302030010011</w:t>
            </w:r>
          </w:p>
        </w:tc>
        <w:tc>
          <w:tcPr>
            <w:tcW w:w="39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彩色多普勒超声检查（常规）-腔内检查（加收）</w:t>
            </w:r>
          </w:p>
        </w:tc>
        <w:tc>
          <w:tcPr>
            <w:tcW w:w="66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汉仪书宋二KW" w:cs="Times New Roman"/>
                <w:snapToGrid w:val="0"/>
                <w:color w:val="000000"/>
                <w:sz w:val="14"/>
                <w:szCs w:val="24"/>
              </w:rPr>
            </w:pPr>
            <w:r>
              <w:rPr>
                <w:rFonts w:hint="eastAsia" w:ascii="Times New Roman" w:hAnsi="Times New Roman" w:eastAsia="汉仪书宋二KW" w:cs="Times New Roman"/>
                <w:snapToGrid w:val="0"/>
                <w:color w:val="000000"/>
                <w:sz w:val="14"/>
                <w:szCs w:val="24"/>
              </w:rPr>
              <w:t>“部位”指人体自然腔道。以经人体自然腔道数量为限进行收费，一次检查经过同一腔道进行多部位检查时，只计费1次。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012302030010021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彩色多普勒超声检查（常规）-立体成像（加收）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通过彩色多普勒超声技术，对组织器官及病灶进行超声立体成像及诊断。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012302030010031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彩色多普勒超声检查（常规）-排卵监测（减收）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通过彩色多普勒超声技术，进行排卵监测。</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49.5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42.8</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40.5</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99</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85.5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81</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012302030020000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彩色多普勒超声检查（心脏）</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通过彩色多普勒超声技术（包括M型超声），观察测量心脏及大血管的形态结构、运动状态、血流动力学情况进行综合分析，作出诊断。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1.床旁检查加收20元/次。</w:t>
            </w:r>
          </w:p>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2.心脏负荷超声检查加收70元。</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205.5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194.7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15</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012302030020001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彩色多普勒超声检查（心脏）-床旁检查（加收）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通过彩色多普勒超声技术（包括M型超声），在床旁观察测量心脏及大血管的形态结构、运动状态、血流动力学情况进行综合分析，作出诊断。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16</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012302030020011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彩色多普勒超声检查（心脏）-心脏负荷超声检查（加收）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通过彩色多普勒超声技术（包括M型超声），观察测量负荷心脏及大血管的形态结构、运动状态、血流动力学情况进行综合分析，作出诊断。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nil"/>
              <w:left w:val="nil"/>
              <w:bottom w:val="nil"/>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17</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012302030020100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彩色多普勒超声检查（心脏）-人工智能辅助诊断（扩展）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通过彩色多普勒超声技术（包括M型超声），观察测量心脏及大血管的形态结构、运动状态、血流动力学情况进行综合分析，作出诊断。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205.5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194.7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18</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012302030021100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彩色多普勒超声检查（心脏）-彩色多普勒超声心动图检查（经食管）（扩展）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通过彩色多普勒超声技术（包括M型超声），观察测量心脏及大血管的形态结构、运动状态、血流动力学情况进行综合分析，作出诊断。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205.5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194.7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012302030030000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彩色多普勒超声检查（血管）</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通过彩色多普勒超声技术，对相关血管进行超声成像及诊断。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床旁检查加收20元/次。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87.2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79.3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75.3</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012302030030001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彩色多普勒超声检查（血管）-床旁检查（加收）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通过彩色多普勒超声技术，在床旁对相关血管进行超声成像及诊断。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012302030030100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彩色多普勒超声检查（血管）-人工智能辅助诊断（扩展）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通过彩色多普勒超声技术，对相关血管进行超声成像及诊断。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87.2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79.3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75.3</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22</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012302030040000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彩色多普勒超声检查（弹性成像）</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通过彩色多普勒超声弹性成像技术，对病变组织器官及病灶进行超声弹性成像及诊断。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所定价格涵盖设备调试、体位摆放、超声检查、获取数据、数据分析、数据存储、出具诊断结果（含图文报告）等步骤所需的人力资源、设备运转成本消耗与基本物质资源消耗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器官</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床旁检查加收20元/次。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92.5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84.1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79.9</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75.7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012302030040001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彩色多普勒超声检查（弹性成像）-床旁检查（加收）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通过彩色多普勒超声弹性成像技术，在床旁对病变组织器官及病灶进行超声弹性成像及诊断。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24</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012302030040100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彩色多普勒超声检查（弹性成像）-人工智能辅助诊断（扩展）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通过彩色多普勒超声弹性成像技术，对病变组织器官及病灶进行超声弹性成像及诊断。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所定价格涵盖设备调试、体位摆放、超声检查、获取数据、数据分析、数据存储、出具诊断结果（含图文报告）等步骤所需的人力资源、设备运转成本消耗与基本物质资源消耗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器官</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92.5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84.1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79.9</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75.7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25</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通过彩色多普勒超声技术，对胎儿进行超声成像及诊断。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1.床旁检查加收20元/次。</w:t>
            </w:r>
          </w:p>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2.腔内检查加收30元。</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160.0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145.5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138.2</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130.9</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26</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通过彩色多普勒超声技术，在床旁对胎儿进行超声成像及诊断。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在同一次检查中，无论多少胎仅加收一次。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27</w:t>
            </w:r>
          </w:p>
        </w:tc>
        <w:tc>
          <w:tcPr>
            <w:tcW w:w="44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012302030050011</w:t>
            </w:r>
          </w:p>
        </w:tc>
        <w:tc>
          <w:tcPr>
            <w:tcW w:w="39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彩色多普勒超声检查（胎儿）-腔内检查（加收）</w:t>
            </w:r>
          </w:p>
        </w:tc>
        <w:tc>
          <w:tcPr>
            <w:tcW w:w="66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汉仪书宋二KW" w:cs="Times New Roman"/>
                <w:snapToGrid w:val="0"/>
                <w:color w:val="000000"/>
                <w:sz w:val="14"/>
                <w:szCs w:val="24"/>
              </w:rPr>
            </w:pPr>
            <w:r>
              <w:rPr>
                <w:rFonts w:hint="eastAsia" w:ascii="Times New Roman" w:hAnsi="Times New Roman" w:eastAsia="汉仪书宋二KW" w:cs="Times New Roman"/>
                <w:snapToGrid w:val="0"/>
                <w:color w:val="000000"/>
                <w:sz w:val="14"/>
                <w:szCs w:val="24"/>
              </w:rPr>
              <w:t>“部位”指人体自然腔道。以经人体自然腔道数量为限进行收费，一次检查经过同一腔道进行多个胎儿检查时，只计费1次。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28</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通过彩色多普勒超声技术，对胎儿进行超声成像及诊断。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160.0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145.5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138.2</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130.9</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29</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012302030051100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彩色多普勒超声检查（胎儿）-早孕期筛查（扩展）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通过彩色多普勒超声技术，进行早孕期筛查。</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160.0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145.5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138.2</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130.9</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012302030052100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彩色多普勒超声检查（胎儿）-胎儿血流动力学检查（扩展）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通过彩色多普勒超声技术，进行胎儿血流动力学检查及诊断。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56.7</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51.5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48.9</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46.4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31</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012302030060000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彩色多普勒超声检查（胎儿系统性筛查）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通过彩色多普勒超声技术，对胎儿组织器官进行超声成像及诊断，排查胎儿结构畸形等异常情况。</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1.“彩色多普勒超声检查（胎儿系统性筛查）”指通过彩色多普勒超声对胎儿系统性（神经、呼吸、消化、心血管、脐带胎盘等）结构性畸形的筛查及对胎儿器官发育情况的检查。</w:t>
            </w:r>
          </w:p>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2.可疑胎儿产前诊断按55%收费。</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310.0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281.8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267.7</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253.6</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32</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012302030060001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彩色多普勒超声检查（胎儿系统性筛查）-可疑胎儿产前诊断（加收）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通过彩色多普勒超声技术，对可疑胎儿组织器官进行超声成像及诊断，排查胎儿结构畸形等异常情况。</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170.5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155.0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147.2</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139.5</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33</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012302030060100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彩色多普勒超声检查（胎儿系统性筛查）-人工智能辅助诊断（扩展）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通过彩色多普勒超声技术，对胎儿组织器官进行超声成像及诊断，排查胎儿结构畸形等异常情况。</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310.0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281.8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267.7</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253.6</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34</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012302030070000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彩色多普勒超声检查（胎儿心脏）</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通过各种超声技术，观察测量胎儿心脏及大血管的形态结构、运动状态、血流动力学情况，观测左右心室收缩功能和舒张功能参数，进行综合分析，作出诊断。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249.1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226.4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215.1</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203.8</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35</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012302030070100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彩色多普勒超声检查（胎儿心脏）-人工智能辅助诊断（扩展）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通过各种超声技术，观察测量胎儿心脏及大血管的形态结构、运动状态、血流动力学情况，观测左右心室收缩功能和舒张功能参数，进行综合分析，作出诊断。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249.1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226.4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215.1</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203.8</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230204</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36</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012302040010000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超声造影（常规）</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通过超声检查，对使用对比剂后器官、组织和病灶的大小、形态、回声、血流信息等情况进行成像及分析，并作出诊断。（不含穿刺/插管）</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所定价格涵盖使用对比剂操作、设备调试、体位摆放、超声动态观察、获取数据、成像、数据分析、数据存储、出具诊断结果（含图文报告）等步骤所需的人力资源、设备运转成本消耗与基本物质资源消耗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器官</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立体成像加收45元。</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136.2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117.6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37</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012302040010001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超声造影（常规）-立体成像（加收）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通过超声检查，对使用对比剂后器官、组织和病灶的大小、形态、回声、血流信息等情况进行立体成像及分析，并作出诊断。（不含穿刺/插管）</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器官</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38</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012302040010100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超声造影（常规）-人工智能辅助诊断（扩展）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通过超声检查，对使用对比剂后器官、组织和病灶的大小、形态、回声、血流信息等情况进行成像及分析，并作出诊断。（不含穿刺/插管）</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所定价格涵盖使用对比剂操作、设备调试、体位摆放、超声动态观察、获取数据、成像、数据分析、数据存储、出具诊断结果（含图文报告）等步骤所需的人力资源、设备运转成本消耗与基本物质资源消耗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器官</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136.2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117.6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39</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012302040020000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超声造影（血管）</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通过超声检查，对使用对比剂后血管的形态、血流、血管病变等信息进行成像及分析，并作出诊断。（不含穿刺/插管）</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所定价格涵盖使用对比剂操作、设备调试、体位摆放、超声动态观察、获取数据、成像、数据分析、数据存储、出具诊断结果（含图文报告）等步骤所需的人力资源、设备运转成本消耗与基本物质资源消耗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136.2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117.6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40</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012302040020100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超声造影（血管）-人工智能辅助诊断（扩展）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通过超声检查，对使用对比剂后血管的形态、血流、血管病变等信息进行成像及分析，并作出诊断。（不含穿刺/插管）</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所定价格涵盖使用对比剂操作、设备调试、体位摆放、超声动态观察、获取数据、成像、数据分析、数据存储、出具诊断结果（含图文报告）等步骤所需的人力资源、设备运转成本消耗与基本物质资源消耗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136.2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117.6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230205</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41</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012302050010000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多普勒检查（周围血管）</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利用多普勒技术，检测周围血管形态、血流速度和方向来评估血管的功能和病变情况，并作出诊断。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所定价格涵盖设备调试、超声测量、获取数据、数据分析、数据储存、出具诊断结果（含图文报告）等步骤所需的人力资源、设备运转成本消耗与基本物质资源消耗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1.“多普勒检查（周围血管）”指根据临床需要，多普勒超声对周围血管内皮功能、硬化状态、静脉回流、踝/趾臂指数等指标的检测。</w:t>
            </w:r>
          </w:p>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2.床旁检查加收20元/次。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62.0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53.6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50.8</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42</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012302050010001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多普勒检查（周围血管）-床旁检查（加收）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通过多普勒技术，在床旁对组织器官及病灶进行立体成像超声成像及诊断。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在同一次检查中，无论多少部位仅加收1次。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43</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012302050010100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多普勒检查（周围血管）-人工智能辅助诊断（扩展）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利用多普勒技术，检测周围血管形态、血流速度和方向来评估血管的功能和病变情况，并作出诊断。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所定价格涵盖设备调试、超声测量、获取数据、数据分析、数据储存、出具诊断结果（含图文报告）等步骤所需的人力资源、设备运转成本消耗与基本物质资源消耗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62.0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53.6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50.8</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44</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012302050020000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多普勒检查（颅内血管）</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通过多普勒技术，测定动脉血流方向及速度，对颅底动脉血流动力学进行评价并作出诊断。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所定价格涵盖设备调试、体位摆放、超声检查、获取数据、数据分析、数据存储、出具诊断结果（含图文报告）等步骤所需的人力资源、设备运转成本消耗与基本物质资源消耗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lang w:val="en-US" w:eastAsia="zh-CN"/>
              </w:rPr>
              <w:t>1.</w:t>
            </w:r>
            <w:r>
              <w:rPr>
                <w:rFonts w:hint="eastAsia" w:ascii="Times New Roman" w:hAnsi="Times New Roman" w:eastAsia="宋体" w:cs="Times New Roman"/>
                <w:snapToGrid w:val="0"/>
                <w:color w:val="000000"/>
                <w:sz w:val="14"/>
                <w:szCs w:val="24"/>
              </w:rPr>
              <w:t>床旁检查加收20元/次。</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exact"/>
              <w:jc w:val="left"/>
              <w:textAlignment w:val="auto"/>
              <w:rPr>
                <w:rFonts w:hint="default" w:ascii="Times New Roman" w:hAnsi="Times New Roman" w:eastAsia="宋体" w:cs="Times New Roman"/>
                <w:snapToGrid w:val="0"/>
                <w:color w:val="000000"/>
                <w:sz w:val="14"/>
                <w:szCs w:val="24"/>
                <w:lang w:val="en-US" w:eastAsia="zh-CN"/>
              </w:rPr>
            </w:pPr>
            <w:r>
              <w:rPr>
                <w:rFonts w:hint="eastAsia" w:ascii="Times New Roman" w:hAnsi="Times New Roman" w:eastAsia="宋体" w:cs="Times New Roman"/>
                <w:snapToGrid w:val="0"/>
                <w:color w:val="000000"/>
                <w:sz w:val="14"/>
                <w:szCs w:val="24"/>
                <w:lang w:val="en-US" w:eastAsia="zh-CN"/>
              </w:rPr>
              <w:t>2.</w:t>
            </w:r>
            <w:r>
              <w:rPr>
                <w:rFonts w:hint="eastAsia" w:ascii="Times New Roman" w:hAnsi="Times New Roman" w:eastAsia="宋体" w:cs="Times New Roman"/>
                <w:snapToGrid w:val="0"/>
                <w:color w:val="000000"/>
                <w:sz w:val="14"/>
                <w:szCs w:val="24"/>
              </w:rPr>
              <w:t>特殊方式检查</w:t>
            </w:r>
            <w:r>
              <w:rPr>
                <w:rFonts w:hint="eastAsia" w:ascii="Times New Roman" w:hAnsi="Times New Roman" w:eastAsia="宋体" w:cs="Times New Roman"/>
                <w:snapToGrid w:val="0"/>
                <w:color w:val="000000"/>
                <w:sz w:val="14"/>
                <w:szCs w:val="24"/>
                <w:lang w:eastAsia="zh-CN"/>
              </w:rPr>
              <w:t>加收</w:t>
            </w:r>
            <w:r>
              <w:rPr>
                <w:rFonts w:hint="eastAsia" w:ascii="Times New Roman" w:hAnsi="Times New Roman" w:eastAsia="宋体" w:cs="Times New Roman"/>
                <w:snapToGrid w:val="0"/>
                <w:color w:val="000000"/>
                <w:sz w:val="14"/>
                <w:szCs w:val="24"/>
                <w:lang w:val="en-US" w:eastAsia="zh-CN"/>
              </w:rPr>
              <w:t>50元/次。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118.6</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112.7</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106.7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012302050020001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多普勒检查（颅内血管）-床旁检查（加收）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通过多普勒技术，在床旁测定动脉血流方向及速度，对颅底动脉血流动力学进行评价并作出诊断。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在同一次检查中，无论多少部位仅加收1次。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46</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012302050020011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多普勒检查（颅内血管）-特殊方式检查（加收）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通过多普勒技术，测定动脉血流方向及速度并行特殊方式检查，对颅底动脉血流动力学进行评价并作出诊断。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特殊方式检查指发泡试验、CO2试验。</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47</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012302050020100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多普勒检查（颅内血管）-人工智能辅助诊断（扩展）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通过多普勒技术，测定动脉血流方向及速度，对颅底动脉血流动力学进行评价并作出诊断。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所定价格涵盖设备调试、体位摆放、超声检查、获取数据、数据分析、数据存储、出具诊断结果（含图文报告）等步骤所需的人力资源、设备运转成本消耗与基本物质资源消耗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118.6</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112.7</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106.7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48</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012302050021100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多普勒检查（颅内血管）-栓子监测（扩展）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通过多普勒技术进行栓子监测。</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所定价格涵盖设备调试、体位摆放、超声检查、获取数据、数据分析、数据存储、出具诊断结果（含图文报告）等步骤所需的人力资源、设备运转成本消耗与基本物质资源消耗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118.6</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112.7</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106.7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bl>
    <w:p>
      <w:pPr>
        <w:keepNext w:val="0"/>
        <w:keepLines w:val="0"/>
        <w:pageBreakBefore w:val="0"/>
        <w:widowControl/>
        <w:kinsoku/>
        <w:wordWrap/>
        <w:overflowPunct/>
        <w:topLinePunct w:val="0"/>
        <w:autoSpaceDE/>
        <w:autoSpaceDN/>
        <w:bidi w:val="0"/>
        <w:adjustRightInd w:val="0"/>
        <w:snapToGrid w:val="0"/>
        <w:spacing w:line="570" w:lineRule="exact"/>
        <w:ind w:firstLine="1600"/>
        <w:textAlignment w:val="auto"/>
        <w:rPr>
          <w:rFonts w:eastAsia="方正仿宋_GBK"/>
          <w:color w:val="000000"/>
          <w:kern w:val="0"/>
          <w:sz w:val="31"/>
          <w:szCs w:val="31"/>
          <w:shd w:val="clear" w:color="auto" w:fill="FFFFFF"/>
          <w:lang w:bidi="ar"/>
        </w:rPr>
        <w:sectPr>
          <w:pgSz w:w="16838" w:h="11906" w:orient="landscape"/>
          <w:pgMar w:top="2098" w:right="1474" w:bottom="1984" w:left="1587" w:header="851" w:footer="992" w:gutter="0"/>
          <w:pgNumType w:fmt="numberInDash"/>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eastAsia" w:ascii="方正小标宋_GBK" w:hAnsi="方正小标宋_GBK" w:eastAsia="方正小标宋_GBK" w:cs="方正小标宋_GBK"/>
          <w:color w:val="000000"/>
          <w:kern w:val="0"/>
          <w:sz w:val="44"/>
          <w:szCs w:val="44"/>
          <w:shd w:val="clear" w:color="auto" w:fill="FFFFFF"/>
          <w:lang w:val="en-US" w:eastAsia="zh-CN" w:bidi="ar"/>
        </w:rPr>
      </w:pPr>
      <w:r>
        <w:rPr>
          <w:rFonts w:hint="eastAsia" w:ascii="Times New Roman" w:hAnsi="Times New Roman" w:eastAsia="方正黑体_GBK" w:cs="方正黑体_GBK"/>
          <w:color w:val="000000"/>
          <w:kern w:val="0"/>
          <w:sz w:val="32"/>
          <w:szCs w:val="32"/>
          <w:shd w:val="clear" w:color="auto" w:fill="FFFFFF"/>
          <w:lang w:eastAsia="zh-CN" w:bidi="ar"/>
        </w:rPr>
        <w:t>附件</w:t>
      </w:r>
      <w:r>
        <w:rPr>
          <w:rFonts w:hint="eastAsia" w:ascii="Times New Roman" w:hAnsi="Times New Roman" w:eastAsia="方正黑体_GBK" w:cs="方正黑体_GBK"/>
          <w:color w:val="000000"/>
          <w:kern w:val="0"/>
          <w:sz w:val="32"/>
          <w:szCs w:val="32"/>
          <w:shd w:val="clear" w:color="auto" w:fill="FFFFFF"/>
          <w:lang w:val="en-US" w:eastAsia="zh-CN" w:bidi="ar"/>
        </w:rPr>
        <w:t xml:space="preserve">2   </w:t>
      </w:r>
      <w:r>
        <w:rPr>
          <w:rFonts w:hint="eastAsia" w:ascii="Times New Roman" w:hAnsi="Times New Roman" w:eastAsia="仿宋" w:cs="Times New Roman"/>
          <w:color w:val="000000"/>
          <w:kern w:val="0"/>
          <w:sz w:val="31"/>
          <w:szCs w:val="31"/>
          <w:shd w:val="clear" w:color="auto" w:fill="FFFFFF"/>
          <w:lang w:val="en-US" w:eastAsia="zh-CN" w:bidi="ar"/>
        </w:rPr>
        <w:t xml:space="preserve">                     </w:t>
      </w:r>
      <w:r>
        <w:rPr>
          <w:rFonts w:hint="eastAsia" w:ascii="方正小标宋_GBK" w:hAnsi="方正小标宋_GBK" w:eastAsia="方正小标宋_GBK" w:cs="方正小标宋_GBK"/>
          <w:color w:val="000000"/>
          <w:kern w:val="0"/>
          <w:sz w:val="44"/>
          <w:szCs w:val="44"/>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color w:val="000000"/>
          <w:kern w:val="0"/>
          <w:sz w:val="44"/>
          <w:szCs w:val="44"/>
          <w:shd w:val="clear" w:color="auto" w:fill="FFFFFF"/>
          <w:lang w:bidi="ar"/>
        </w:rPr>
      </w:pPr>
      <w:r>
        <w:rPr>
          <w:rFonts w:hint="eastAsia" w:ascii="方正小标宋_GBK" w:hAnsi="方正小标宋_GBK" w:eastAsia="方正小标宋_GBK" w:cs="方正小标宋_GBK"/>
          <w:color w:val="000000"/>
          <w:kern w:val="0"/>
          <w:sz w:val="44"/>
          <w:szCs w:val="44"/>
          <w:shd w:val="clear" w:color="auto" w:fill="FFFFFF"/>
          <w:lang w:bidi="ar"/>
        </w:rPr>
        <w:t>修订部分医疗服务价格项目表</w:t>
      </w:r>
    </w:p>
    <w:tbl>
      <w:tblPr>
        <w:tblStyle w:val="8"/>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51"/>
        <w:gridCol w:w="1509"/>
        <w:gridCol w:w="1882"/>
        <w:gridCol w:w="1078"/>
        <w:gridCol w:w="1078"/>
        <w:gridCol w:w="1078"/>
        <w:gridCol w:w="635"/>
        <w:gridCol w:w="436"/>
        <w:gridCol w:w="639"/>
        <w:gridCol w:w="656"/>
        <w:gridCol w:w="437"/>
        <w:gridCol w:w="426"/>
        <w:gridCol w:w="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国家项目编码</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项目编码</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项目名称</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项目内涵</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除外内容</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计价单位</w:t>
            </w:r>
          </w:p>
        </w:tc>
        <w:tc>
          <w:tcPr>
            <w:tcW w:w="8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政府指导价</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sz w:val="18"/>
                <w:szCs w:val="18"/>
                <w:u w:val="none"/>
                <w:lang w:val="en-US" w:eastAsia="zh-CN"/>
              </w:rPr>
              <w:t>医保属性</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sz w:val="18"/>
                <w:szCs w:val="18"/>
                <w:u w:val="none"/>
                <w:lang w:val="en-US" w:eastAsia="zh-CN"/>
              </w:rPr>
              <w:t>医保支付限制</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i w:val="0"/>
                <w:iCs w:val="0"/>
                <w:color w:val="000000"/>
                <w:sz w:val="18"/>
                <w:szCs w:val="18"/>
                <w:u w:val="none"/>
                <w:lang w:val="en-US" w:eastAsia="zh-CN"/>
              </w:rPr>
            </w:pPr>
            <w:r>
              <w:rPr>
                <w:rFonts w:hint="eastAsia" w:ascii="方正黑体_GBK" w:hAnsi="方正黑体_GBK" w:eastAsia="方正黑体_GBK" w:cs="方正黑体_GBK"/>
                <w:i w:val="0"/>
                <w:iCs w:val="0"/>
                <w:color w:val="000000"/>
                <w:sz w:val="18"/>
                <w:szCs w:val="18"/>
                <w:u w:val="none"/>
                <w:lang w:val="en-US" w:eastAsia="zh-CN"/>
              </w:rPr>
              <w:t>归集</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sz w:val="18"/>
                <w:szCs w:val="18"/>
                <w:u w:val="none"/>
                <w:lang w:val="en-US" w:eastAsia="zh-CN"/>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18"/>
                <w:szCs w:val="18"/>
                <w:u w:val="none"/>
                <w:lang w:val="en-US" w:eastAsia="zh-CN" w:bidi="ar"/>
              </w:rPr>
            </w:pPr>
            <w:r>
              <w:rPr>
                <w:rFonts w:hint="eastAsia" w:ascii="方正黑体_GBK" w:hAnsi="方正黑体_GBK" w:eastAsia="方正黑体_GBK" w:cs="方正黑体_GBK"/>
                <w:i w:val="0"/>
                <w:iCs w:val="0"/>
                <w:color w:val="000000"/>
                <w:kern w:val="0"/>
                <w:sz w:val="18"/>
                <w:szCs w:val="18"/>
                <w:u w:val="none"/>
                <w:lang w:val="en-US" w:eastAsia="zh-CN" w:bidi="ar"/>
              </w:rPr>
              <w:t>三</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级</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二级</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18"/>
                <w:szCs w:val="18"/>
                <w:u w:val="none"/>
                <w:lang w:val="en-US" w:eastAsia="zh-CN" w:bidi="ar"/>
              </w:rPr>
            </w:pPr>
            <w:r>
              <w:rPr>
                <w:rFonts w:hint="eastAsia" w:ascii="方正黑体_GBK" w:hAnsi="方正黑体_GBK" w:eastAsia="方正黑体_GBK" w:cs="方正黑体_GBK"/>
                <w:i w:val="0"/>
                <w:iCs w:val="0"/>
                <w:color w:val="000000"/>
                <w:kern w:val="0"/>
                <w:sz w:val="18"/>
                <w:szCs w:val="18"/>
                <w:u w:val="none"/>
                <w:lang w:val="en-US" w:eastAsia="zh-CN" w:bidi="ar"/>
              </w:rPr>
              <w:t>一</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级</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基层</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0"/>
                <w:szCs w:val="20"/>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002208000080000-220800008.01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220800008.01</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超声计算机图文报告（病理彩色图文报告（含图象分析）收取）</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2"/>
                <w:szCs w:val="22"/>
                <w:u w:val="none"/>
                <w:lang w:eastAsia="zh-CN"/>
              </w:rPr>
            </w:pPr>
            <w:r>
              <w:rPr>
                <w:rFonts w:hint="eastAsia" w:ascii="Times New Roman" w:hAnsi="Times New Roman" w:eastAsia="方正仿宋_GBK" w:cs="方正仿宋_GBK"/>
                <w:i w:val="0"/>
                <w:iCs w:val="0"/>
                <w:color w:val="000000"/>
                <w:sz w:val="22"/>
                <w:szCs w:val="22"/>
                <w:u w:val="none"/>
                <w:lang w:eastAsia="zh-CN"/>
              </w:rPr>
              <w:t>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23.8</w:t>
            </w: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22.6</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22.2</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2"/>
                <w:szCs w:val="22"/>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检查费</w:t>
            </w:r>
          </w:p>
        </w:tc>
      </w:tr>
    </w:tbl>
    <w:p>
      <w:pPr>
        <w:sectPr>
          <w:pgSz w:w="16838" w:h="11906" w:orient="landscape"/>
          <w:pgMar w:top="2098" w:right="1474" w:bottom="1984" w:left="1587" w:header="851" w:footer="992" w:gutter="0"/>
          <w:pgNumType w:fmt="numberInDash"/>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eastAsia" w:ascii="Times New Roman" w:hAnsi="Times New Roman" w:eastAsia="方正黑体_GBK" w:cs="方正黑体_GBK"/>
          <w:color w:val="000000"/>
          <w:kern w:val="0"/>
          <w:sz w:val="32"/>
          <w:szCs w:val="32"/>
          <w:shd w:val="clear" w:color="auto" w:fill="FFFFFF"/>
          <w:lang w:eastAsia="zh-CN" w:bidi="ar"/>
        </w:rPr>
      </w:pPr>
      <w:r>
        <w:rPr>
          <w:rFonts w:hint="eastAsia" w:ascii="Times New Roman" w:hAnsi="Times New Roman" w:eastAsia="方正黑体_GBK" w:cs="方正黑体_GBK"/>
          <w:color w:val="000000"/>
          <w:kern w:val="0"/>
          <w:sz w:val="32"/>
          <w:szCs w:val="32"/>
          <w:shd w:val="clear" w:color="auto" w:fill="FFFFFF"/>
          <w:lang w:eastAsia="zh-CN" w:bidi="ar"/>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停用超声检查类医疗服务价格项目表</w:t>
      </w:r>
    </w:p>
    <w:tbl>
      <w:tblPr>
        <w:tblStyle w:val="8"/>
        <w:tblpPr w:leftFromText="180" w:rightFromText="180" w:vertAnchor="text" w:horzAnchor="page" w:tblpXSpec="center" w:tblpY="303"/>
        <w:tblOverlap w:val="never"/>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8"/>
        <w:gridCol w:w="1846"/>
        <w:gridCol w:w="6710"/>
        <w:gridCol w:w="3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blHeader/>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1"/>
                <w:szCs w:val="21"/>
                <w:u w:val="none"/>
              </w:rPr>
            </w:pPr>
            <w:r>
              <w:rPr>
                <w:rFonts w:hint="eastAsia" w:ascii="Times New Roman" w:hAnsi="Times New Roman" w:eastAsia="方正黑体_GBK" w:cs="方正黑体_GBK"/>
                <w:b w:val="0"/>
                <w:bCs/>
                <w:i w:val="0"/>
                <w:iCs w:val="0"/>
                <w:color w:val="000000"/>
                <w:kern w:val="0"/>
                <w:sz w:val="21"/>
                <w:szCs w:val="21"/>
                <w:u w:val="none"/>
                <w:lang w:val="en-US" w:eastAsia="zh-CN" w:bidi="ar"/>
              </w:rPr>
              <w:t>序号</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1"/>
                <w:szCs w:val="21"/>
                <w:u w:val="none"/>
              </w:rPr>
            </w:pPr>
            <w:r>
              <w:rPr>
                <w:rFonts w:hint="eastAsia" w:ascii="Times New Roman" w:hAnsi="Times New Roman" w:eastAsia="方正黑体_GBK" w:cs="方正黑体_GBK"/>
                <w:b w:val="0"/>
                <w:bCs/>
                <w:i w:val="0"/>
                <w:iCs w:val="0"/>
                <w:color w:val="000000"/>
                <w:kern w:val="0"/>
                <w:sz w:val="21"/>
                <w:szCs w:val="21"/>
                <w:u w:val="none"/>
                <w:lang w:val="en-US" w:eastAsia="zh-CN" w:bidi="ar"/>
              </w:rPr>
              <w:t>项目编码</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1"/>
                <w:szCs w:val="21"/>
                <w:u w:val="none"/>
              </w:rPr>
            </w:pPr>
            <w:r>
              <w:rPr>
                <w:rFonts w:hint="eastAsia" w:ascii="Times New Roman" w:hAnsi="Times New Roman" w:eastAsia="方正黑体_GBK" w:cs="方正黑体_GBK"/>
                <w:b w:val="0"/>
                <w:bCs/>
                <w:i w:val="0"/>
                <w:iCs w:val="0"/>
                <w:color w:val="000000"/>
                <w:kern w:val="0"/>
                <w:sz w:val="21"/>
                <w:szCs w:val="21"/>
                <w:u w:val="none"/>
                <w:lang w:val="en-US" w:eastAsia="zh-CN" w:bidi="ar"/>
              </w:rPr>
              <w:t>项目名称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1"/>
                <w:szCs w:val="21"/>
                <w:u w:val="none"/>
              </w:rPr>
            </w:pPr>
            <w:r>
              <w:rPr>
                <w:rFonts w:hint="eastAsia" w:ascii="Times New Roman" w:hAnsi="Times New Roman" w:eastAsia="方正黑体_GBK" w:cs="方正黑体_GBK"/>
                <w:b w:val="0"/>
                <w:bCs/>
                <w:i w:val="0"/>
                <w:iCs w:val="0"/>
                <w:color w:val="000000"/>
                <w:kern w:val="0"/>
                <w:sz w:val="21"/>
                <w:szCs w:val="21"/>
                <w:u w:val="none"/>
                <w:lang w:val="en-US" w:eastAsia="zh-CN" w:bidi="ar"/>
              </w:rPr>
              <w:t>现行医保结算编码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A超</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220100001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A型超声检查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002201000010000-220100001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220100003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眼部A超</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002201000030000-220100003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单脏器B超检查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002202010010000-220201001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002202010020000-220201002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B超常规检查（每增加一个部位加收）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002202010020000-220201002.01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B超常规检查（胸部）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002202010020100-220201002.10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220201002.20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B超常规检查（腹部）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002202010020200-220201002.20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220201002.30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B超常规检查（胃肠道）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002202010020300-220201002.30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220201002.40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B超常规检查（泌尿系）</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002202010020400-220201002.40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220201002.50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B超常规检查（妇科）</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002202010020500-220201002.50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220201002.60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B超常规检查（产科）</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002202010020600-220201002.60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胸腹水B超检查及穿刺定位</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002202010030000-220201003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胃肠充盈造影B超检查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002202010040000-220201004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大肠灌肠造影B超检查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002202010050000-220201005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输卵管超声造影</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002202010060000-220201006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浅表组织器官B超检查（每增加一个部位加收）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浅表组织器官B超检查（双眼及附属器）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浅表组织器官B超检查（双涎腺及颈部淋巴结）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浅表组织器官B超检查（甲状腺及颈部淋巴结）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浅表组织器官B超检查（乳腺及其引流区淋巴结）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浅表组织器官B超检查（四肢软组织）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浅表组织器官B超检查（阴囊、双侧睾丸、附睾）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浅表组织器官B超检查（小儿颅腔）</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220201007.09</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浅表组织器官B超检查（膝关节）</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220201007.a0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浅表组织器官B超检查（体表肿物）</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002202010070000-220201007.a0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床旁B超检查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002202010080000-220201008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220201008.01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床旁B超检查（术中B超检查加收）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002202010080100-220201008.01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220202001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经阴道B超检查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002202020010000-220202001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220202002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经直肠B超检查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002202020020000-220202002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220203001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胃充盈及排空功能检查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002202030010000-220203001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220203002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小肠充盈及排空功能检查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002202030020000-220203002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220203003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胆囊和胆道收缩功能检查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002202030030000-220203003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220203004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胎儿生物物理相评分</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002202030040000-220203004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220203005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膀胱残余尿量测定</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002202030050000-220203005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彩色多普勒超声特殊检查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彩色多普勒超声（床旁检查加收）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002202010080000-2203.01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彩色多普勒超声常规检查（每增加一个部位加收）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002203010010000-220301001.01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彩色多普勒超声常规检查（血管超声加收）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002203010010000-220301001.02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彩色多普勒超声常规检查（腹膜后肿物收取）</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002203010010001-220301001.03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220301001a</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彩色多普勒超声常规检查（胸部）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002203010010100-220301001a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220301001b</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彩色多普勒超声常规检查（腹部）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002203010010200-220301001b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220301001c</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彩色多普勒超声常规检查（胃肠道）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002203010010300-220301001c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220301001d</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彩色多普勒超声常规检查（泌尿系）</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002203010010400-220301001d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220301001e</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彩色多普勒超声常规检查（妇科）</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002203010010500-220301001e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220301001e.01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彩色多普勒超声常规检查（妇科）经阴道彩超检查加收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002203010010500-220301001e.01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220301001f</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彩色多普勒超声常规检查（产科）</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002203010010600-220301001f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220301001f.01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彩色多普勒超声常规检查（产科）中期孕胎儿系统超声筛查加收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002203010010600-220301001f.01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220301001g</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彩色多普勒超声常规检查（男性生殖系统）</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002203010010700-220301001g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浅表器官彩色多普勒超声检查（每增加一个部位加收）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浅表器官彩色多普勒超声检查（双眼及附属器）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浅表器官彩色多普勒超声检查（双涎腺及颈部淋巴结）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浅表器官彩色多普勒超声检查（甲状腺及颈部淋巴结）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浅表器官彩色多普勒超声检查（乳腺及其引流区淋巴结）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浅表器官彩色多普勒超声检查（上肢或下肢软组织）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浅表器官彩色多普勒超声检查（阴囊、双侧睾丸、附睾）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浅表器官彩色多普勒超声检查（颅腔）</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220301002.09</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浅表器官彩色多普勒超声检查（体表包块）</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220301002.a0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浅表器官彩色多普勒超声检查（关节）</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002203010020000-220301002.a0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颅内段血管彩色多普勒超声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002203020010000-220302001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球后全部血管彩色多普勒超声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002203020020000-220302002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颈部血管彩色多普勒超声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002203020030000-220302003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220302003.01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颈部血管彩色多普勒超声（每增加2根血管加收）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002203020030001-220302003.01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220302003.10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颈部血管彩色多普勒超声（颈动脉）</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002203020030100-220302003.10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220302003.20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颈部血管彩色多普勒超声（颈静脉）</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002203020030200-220302003.20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220302003.30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颈部血管彩色多普勒超声（椎动脉）</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002203020030300-220302003.30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门静脉系彩色多普勒超声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002203020040000-220302004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腹部大血管彩色多普勒超声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002203020050000-220302005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四肢血管彩色多普勒超声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002203020060000-220302006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220302006.01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四肢血管彩色多普勒超声（每增加2根血管加收）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002203020060001-220302006.01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双肾及肾血管彩色多普勒超声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002203020070000-220302007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左肾静脉“胡桃夹”综合征检查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002203020080000-220302008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220302009</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药物血管功能试验</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002203020090000-220302009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脏器声学造影</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002203020100000-220302010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220302010.10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脏器声学造影（肿瘤声学造影）</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002203020100100-220302010.10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腔内彩色多普勒超声检查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002203020110000-220302011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220302011.10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腔内彩色多普勒超声检查（经阴道）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002203020110100-220302011.10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220302011.20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腔内彩色多普勒超声检查（经直肠）</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002203020110200-220302011.20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A220302013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肝纤维化瞬时弹性测定</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002203020110000-A220302013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肝静脉超声检查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002203010010000-220302014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胎儿系统彩色多普勒超声检查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002203010010600-220302015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实时三维盆底超声检查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502203020260000-220302016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EDCUE003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可疑胎儿异常的产前彩色多普勒超声诊断</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002203010010600-EDCUE003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EDCUE004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胎儿颈后透明层彩色多普勒超声测定</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002203010010600-EDCUE004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多普勒检查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颅内多普勒血流图（TCD）栓子检测加收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颅内多普勒血流图（TCD）监测收取</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颅内多普勒血流图（TCD）转颈试验收取</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颅内多普勒血流图（TCD）床旁加收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颅内多普勒血流图（TCD）（压颈试验）</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四肢多普勒血流图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002204000020000-220400002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多普勒小儿血压检测</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002204000030000-220400003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经颅多普勒超声发泡试验</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002203020120000-220400004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220400004.10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卵圆孔未闭分级测定</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三维超声检查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脏器灰阶立体成像</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002205000010000-220500001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220500001.01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脏器灰阶立体成像（胎儿实时三维超声检查收取）</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002205000010000-220500001.01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220500002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能量图血流立体成象</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002205000020000-220500002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超声弹性成像检查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502203020130000-220500003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220500004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孕妇-胎儿血流动力学彩超检测</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002203010010600-220500004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心脏超声检查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普通心脏M型超声检查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002206000010000-220600001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普通二维超声心动图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002206000020000-220600002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床旁超声心动图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002206000030000-220600003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心脏彩色多普勒超声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002206000040000-220600004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220600004.01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心脏彩色多普勒超声（同时做左心功能测定加收）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002206000040000-220600004.01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220600004.02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心脏彩色多普勒超声（胎儿检查加收）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002206000040001-220600004.02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220600004.03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心脏彩色多普勒超声（双胎以上加收）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002206000040000-220600004.03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常规经食管超声心动图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002206000050000-220600005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术中经食管超声心动图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002206000060000-220600006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220600006.01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术中经食管超声心动图（每增加半小时加收）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002206000060000-220600006.01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介入治疗的超声心动图监视</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002206000070000-220600007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220600007.01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介入治疗的超声心动图监视（每增加半小时加收）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002206000070000-220600007.01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右心声学造影</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002206000080000-220600008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220600008.01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右心声学造影（彩色多普勒加收）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002206000080000-220600008.01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220600009</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负荷超声心动图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002206000090000-220600009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220600009.01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负荷超声心动图（彩色多普勒加收）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002206000090000-220600009.01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220600009.10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负荷超声心动图（药物注射）</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002206000090100-220600009.10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220600009.20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负荷超声心动图（运动试验）</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002206000090200-220600009.20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左心功能测定</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002206000100000-220600010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220600010.01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左心功能测定（彩色多普勒加收）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002206000100000-220600010.01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其他心脏超声诊疗技术</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计算机三维重建技术（3DE）</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002207000010000-220700001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声学定量（AQ）</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002207000020000-220700002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220700002.10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声学定量（AQ）（声象图定量）</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002207000020000-220700002.10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彩色室壁动力（CK）</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002207000030000-220700003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组织多普勒显象（TDI）</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002207000040000-220700004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心内膜自动边缘检测</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002207000050000-220700005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室壁运动分析</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002207000060000-220700006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心肌灌注超声检测</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002207000070000-220700007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图像记录附加收费项目</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黑白热敏打印照片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002208000010000-220800001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彩色打印照片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002208000020000-220800002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黑白一次成象（波拉）照片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002208000030000-220800003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彩色一次成象（波拉）照片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002208000040000-220800004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超声多幅照相</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002208000050000-220800005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彩色胶片照相</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002208000060000-220800006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超声检查实时录象</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002208000070000-220800007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超声计算机图文报告</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002208000080000-220800008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311201028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胎儿脐血流监测</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003112010280000-311201028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311201036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脉冲自动注射促排卵检查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003112010360000-311201036</w:t>
            </w:r>
          </w:p>
        </w:tc>
      </w:tr>
    </w:tbl>
    <w:p>
      <w:pPr>
        <w:widowControl w:val="0"/>
        <w:jc w:val="both"/>
        <w:rPr>
          <w:rFonts w:ascii="Times New Roman" w:hAnsi="Times New Roman" w:eastAsia="宋体" w:cs="Times New Roman"/>
          <w:vanish/>
          <w:kern w:val="2"/>
          <w:sz w:val="36"/>
          <w:szCs w:val="36"/>
          <w:lang w:val="en-US" w:eastAsia="zh-CN" w:bidi="ar-SA"/>
        </w:rPr>
      </w:pPr>
      <w:bookmarkStart w:id="2" w:name="_GoBack"/>
      <w:bookmarkEnd w:id="2"/>
    </w:p>
    <w:p>
      <w:pPr>
        <w:rPr>
          <w:rFonts w:ascii="Times New Roman" w:hAnsi="Times New Roman" w:eastAsia="宋体" w:cs="Times New Roman"/>
          <w:vanish/>
          <w:sz w:val="21"/>
        </w:rPr>
      </w:pPr>
    </w:p>
    <w:p>
      <w:pPr>
        <w:rPr>
          <w:rFonts w:hint="eastAsia"/>
          <w:vanish/>
          <w:sz w:val="21"/>
          <w:lang w:val="en-US" w:eastAsia="zh-CN"/>
        </w:rPr>
        <w:sectPr>
          <w:footerReference r:id="rId5" w:type="default"/>
          <w:pgSz w:w="16838" w:h="11906" w:orient="landscape"/>
          <w:pgMar w:top="1587" w:right="1962" w:bottom="1474" w:left="1848" w:header="851" w:footer="992" w:gutter="0"/>
          <w:paperSrc/>
          <w:pgNumType w:fmt="numberInDash"/>
          <w:cols w:space="0" w:num="1"/>
          <w:rtlGutter w:val="0"/>
          <w:docGrid w:type="lines" w:linePitch="327" w:charSpace="0"/>
        </w:sectPr>
      </w:pPr>
    </w:p>
    <w:p>
      <w:pPr>
        <w:pStyle w:val="2"/>
        <w:rPr>
          <w:rFonts w:hint="eastAsia"/>
          <w:vanish/>
          <w:lang w:val="en-US" w:eastAsia="zh-CN"/>
        </w:rPr>
      </w:pPr>
    </w:p>
    <w:p>
      <w:pPr>
        <w:rPr>
          <w:rFonts w:hint="eastAsia"/>
          <w:vanish/>
          <w:lang w:val="en-US" w:eastAsia="zh-CN"/>
        </w:rPr>
      </w:pPr>
    </w:p>
    <w:p>
      <w:pPr>
        <w:pStyle w:val="2"/>
        <w:rPr>
          <w:rFonts w:hint="eastAsia"/>
          <w:vanish/>
          <w:lang w:val="en-US" w:eastAsia="zh-CN"/>
        </w:rPr>
      </w:pPr>
    </w:p>
    <w:p>
      <w:pPr>
        <w:rPr>
          <w:rFonts w:hint="eastAsia"/>
          <w:vanish/>
          <w:lang w:val="en-US" w:eastAsia="zh-CN"/>
        </w:rPr>
        <w:sectPr>
          <w:pgSz w:w="16838" w:h="11906" w:orient="landscape"/>
          <w:pgMar w:top="1587" w:right="1962" w:bottom="1474" w:left="1848" w:header="851" w:footer="992" w:gutter="0"/>
          <w:paperSrc/>
          <w:pgNumType w:fmt="numberInDash"/>
          <w:cols w:space="0" w:num="1"/>
          <w:rtlGutter w:val="0"/>
          <w:docGrid w:type="lines" w:linePitch="327" w:charSpace="0"/>
        </w:sectPr>
      </w:pPr>
    </w:p>
    <w:p>
      <w:pPr>
        <w:pStyle w:val="2"/>
        <w:rPr>
          <w:rFonts w:hint="eastAsia"/>
          <w:vanish/>
          <w:lang w:val="en-US" w:eastAsia="zh-CN"/>
        </w:rPr>
        <w:sectPr>
          <w:pgSz w:w="16838" w:h="11906" w:orient="landscape"/>
          <w:pgMar w:top="1587" w:right="1962" w:bottom="1474" w:left="1848" w:header="851" w:footer="992" w:gutter="0"/>
          <w:paperSrc/>
          <w:pgNumType w:fmt="numberInDash"/>
          <w:cols w:space="0" w:num="1"/>
          <w:rtlGutter w:val="0"/>
          <w:docGrid w:type="lines" w:linePitch="327" w:charSpace="0"/>
        </w:sectPr>
      </w:pPr>
    </w:p>
    <w:p>
      <w:pPr>
        <w:rPr>
          <w:rFonts w:hint="eastAsia"/>
          <w:vanish/>
          <w:lang w:val="en-US" w:eastAsia="zh-CN"/>
        </w:r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1" w:name="公章"/>
      <w:bookmarkEnd w:id="1"/>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6838" w:h="11906" w:orient="landscape"/>
      <w:pgMar w:top="1587" w:right="1962" w:bottom="1474" w:left="1848" w:header="851" w:footer="992" w:gutter="0"/>
      <w:paperSrc/>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3011805</wp:posOffset>
              </wp:positionV>
              <wp:extent cx="27876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78765"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37.15pt;height:144pt;width:21.95pt;mso-position-horizontal-relative:margin;z-index:251662336;mso-width-relative:page;mso-height-relative:page;" filled="f" stroked="f" coordsize="21600,21600" o:gfxdata="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&#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tMqEw1wAAAAcBAAAPAAAAAAAAAAEAIAAAACIAAABk&#10;cnMvZG93bnJldi54bWxQSwECFAAUAAAACACHTuJAXgHWTkACAABwBAAADgAAAAAAAAABACAAAAAm&#10;AQAAZHJzL2Uyb0RvYy54bWxQSwUGAAAAAAYABgBZAQAA2AU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136525</wp:posOffset>
              </wp:positionV>
              <wp:extent cx="5616575" cy="1905"/>
              <wp:effectExtent l="0" t="10795" r="6985" b="17780"/>
              <wp:wrapNone/>
              <wp:docPr id="9" name="直接连接符 9"/>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3360;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jNpwPu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1BD0"/>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13D97600"/>
    <w:rsid w:val="14343F9C"/>
    <w:rsid w:val="169C21F2"/>
    <w:rsid w:val="16D81DB6"/>
    <w:rsid w:val="174775C1"/>
    <w:rsid w:val="19F26BB1"/>
    <w:rsid w:val="1A7754F8"/>
    <w:rsid w:val="1B0753E2"/>
    <w:rsid w:val="1B4E30E0"/>
    <w:rsid w:val="1C03787B"/>
    <w:rsid w:val="1F66431E"/>
    <w:rsid w:val="1F6B6086"/>
    <w:rsid w:val="1FF2314D"/>
    <w:rsid w:val="21827243"/>
    <w:rsid w:val="250948EB"/>
    <w:rsid w:val="261C1009"/>
    <w:rsid w:val="26FE3319"/>
    <w:rsid w:val="27851AC3"/>
    <w:rsid w:val="2B1D7252"/>
    <w:rsid w:val="2B372E74"/>
    <w:rsid w:val="2BC52E85"/>
    <w:rsid w:val="2C0679BF"/>
    <w:rsid w:val="2DEC6BE5"/>
    <w:rsid w:val="2E593E6B"/>
    <w:rsid w:val="2FBD190A"/>
    <w:rsid w:val="314372AE"/>
    <w:rsid w:val="31667E06"/>
    <w:rsid w:val="324E1D58"/>
    <w:rsid w:val="32DA5548"/>
    <w:rsid w:val="335B486B"/>
    <w:rsid w:val="361F3129"/>
    <w:rsid w:val="36806076"/>
    <w:rsid w:val="369E4EAA"/>
    <w:rsid w:val="3CC11305"/>
    <w:rsid w:val="3E8C7CCF"/>
    <w:rsid w:val="3FBA347C"/>
    <w:rsid w:val="40CB1594"/>
    <w:rsid w:val="43350544"/>
    <w:rsid w:val="43C05462"/>
    <w:rsid w:val="44897362"/>
    <w:rsid w:val="44BE37CF"/>
    <w:rsid w:val="45A537EA"/>
    <w:rsid w:val="464D005F"/>
    <w:rsid w:val="48720A8D"/>
    <w:rsid w:val="4A280732"/>
    <w:rsid w:val="4A9F2515"/>
    <w:rsid w:val="4D3B4FB8"/>
    <w:rsid w:val="4DB53795"/>
    <w:rsid w:val="4E5F467B"/>
    <w:rsid w:val="4EF53B10"/>
    <w:rsid w:val="53AD1103"/>
    <w:rsid w:val="54E36229"/>
    <w:rsid w:val="554B02CC"/>
    <w:rsid w:val="580C22FF"/>
    <w:rsid w:val="58725B91"/>
    <w:rsid w:val="589B50B4"/>
    <w:rsid w:val="59312802"/>
    <w:rsid w:val="5BBA6EB8"/>
    <w:rsid w:val="5BEE4C02"/>
    <w:rsid w:val="5BFF151F"/>
    <w:rsid w:val="5F78236B"/>
    <w:rsid w:val="602461BE"/>
    <w:rsid w:val="6314426C"/>
    <w:rsid w:val="66344AB8"/>
    <w:rsid w:val="67951754"/>
    <w:rsid w:val="699A3F3C"/>
    <w:rsid w:val="6A9A2A7D"/>
    <w:rsid w:val="6C160C0C"/>
    <w:rsid w:val="6CDF7866"/>
    <w:rsid w:val="6CF5407A"/>
    <w:rsid w:val="6FAC2205"/>
    <w:rsid w:val="71866B29"/>
    <w:rsid w:val="7874644F"/>
    <w:rsid w:val="791E0F5E"/>
    <w:rsid w:val="7A913BC9"/>
    <w:rsid w:val="7A9755C4"/>
    <w:rsid w:val="7B1A16F5"/>
    <w:rsid w:val="7CCA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2025-12-23T08:25:04Z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CD1A7F03F0C64422848A1D8504745492</vt:lpwstr>
  </property>
</Properties>
</file>