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方正仿宋_GBK" w:cs="Times New Roman"/>
          <w:color w:val="auto"/>
          <w:sz w:val="32"/>
          <w:szCs w:val="32"/>
          <w:highlight w:val="none"/>
          <w:u w:val="none"/>
        </w:rPr>
      </w:pPr>
      <w:r>
        <w:rPr>
          <w:rFonts w:hint="eastAsia" w:ascii="Times New Roman" w:hAnsi="Times New Roman" w:eastAsia="方正黑体_GBK" w:cs="宋体"/>
          <w:bCs/>
          <w:color w:val="auto"/>
          <w:kern w:val="0"/>
          <w:sz w:val="32"/>
          <w:szCs w:val="32"/>
          <w:u w:val="none"/>
          <w:lang w:val="en-US" w:eastAsia="zh-CN" w:bidi="ar-SA"/>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1" w:leftChars="0" w:hanging="11" w:firstLineChars="0"/>
        <w:jc w:val="center"/>
        <w:textAlignment w:val="auto"/>
        <w:rPr>
          <w:rFonts w:hint="eastAsia" w:ascii="方正小标宋_GBK" w:hAnsi="方正小标宋_GBK" w:eastAsia="方正小标宋_GBK" w:cs="方正小标宋_GBK"/>
          <w:color w:val="auto"/>
          <w:sz w:val="44"/>
          <w:szCs w:val="44"/>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1" w:leftChars="0" w:hanging="11" w:firstLineChars="0"/>
        <w:jc w:val="center"/>
        <w:textAlignment w:val="auto"/>
        <w:rPr>
          <w:rFonts w:hint="eastAsia" w:ascii="方正小标宋_GBK" w:hAnsi="方正小标宋_GBK" w:eastAsia="方正小标宋_GBK" w:cs="方正小标宋_GBK"/>
          <w:snapToGrid w:val="0"/>
          <w:color w:val="auto"/>
          <w:kern w:val="0"/>
          <w:sz w:val="44"/>
          <w:szCs w:val="44"/>
          <w:highlight w:val="none"/>
          <w:u w:val="none"/>
          <w:lang w:val="en-US" w:eastAsia="zh-CN"/>
        </w:rPr>
      </w:pPr>
      <w:r>
        <w:rPr>
          <w:rFonts w:hint="eastAsia" w:ascii="方正小标宋_GBK" w:hAnsi="方正小标宋_GBK" w:eastAsia="方正小标宋_GBK" w:cs="方正小标宋_GBK"/>
          <w:snapToGrid w:val="0"/>
          <w:color w:val="auto"/>
          <w:kern w:val="0"/>
          <w:sz w:val="44"/>
          <w:szCs w:val="44"/>
          <w:highlight w:val="none"/>
          <w:u w:val="none"/>
          <w:lang w:val="en-US" w:eastAsia="zh-CN"/>
        </w:rPr>
        <w:t>《国家药品目录（2025年）》从谈判药品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11" w:leftChars="0" w:hanging="11" w:firstLineChars="0"/>
        <w:jc w:val="center"/>
        <w:textAlignment w:val="auto"/>
        <w:rPr>
          <w:rFonts w:hint="eastAsia" w:ascii="方正小标宋_GBK" w:hAnsi="方正小标宋_GBK" w:eastAsia="方正小标宋_GBK" w:cs="方正小标宋_GBK"/>
          <w:snapToGrid w:val="0"/>
          <w:color w:val="auto"/>
          <w:kern w:val="0"/>
          <w:sz w:val="44"/>
          <w:szCs w:val="44"/>
          <w:highlight w:val="none"/>
          <w:u w:val="none"/>
          <w:lang w:val="en-US" w:eastAsia="zh-CN"/>
        </w:rPr>
      </w:pPr>
      <w:r>
        <w:rPr>
          <w:rFonts w:hint="eastAsia" w:ascii="方正小标宋_GBK" w:hAnsi="方正小标宋_GBK" w:eastAsia="方正小标宋_GBK" w:cs="方正小标宋_GBK"/>
          <w:snapToGrid w:val="0"/>
          <w:color w:val="auto"/>
          <w:kern w:val="0"/>
          <w:sz w:val="44"/>
          <w:szCs w:val="44"/>
          <w:highlight w:val="none"/>
          <w:u w:val="none"/>
          <w:lang w:val="en-US" w:eastAsia="zh-CN"/>
        </w:rPr>
        <w:t>调整转为常规药品管理的43个药品</w:t>
      </w:r>
    </w:p>
    <w:tbl>
      <w:tblPr>
        <w:tblStyle w:val="8"/>
        <w:tblW w:w="95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3"/>
        <w:gridCol w:w="960"/>
        <w:gridCol w:w="2738"/>
        <w:gridCol w:w="5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auto"/>
                <w:sz w:val="24"/>
                <w:szCs w:val="24"/>
                <w:highlight w:val="none"/>
                <w:u w:val="none"/>
              </w:rPr>
            </w:pPr>
            <w:r>
              <w:rPr>
                <w:rFonts w:hint="eastAsia" w:ascii="方正黑体_GBK" w:hAnsi="方正黑体_GBK" w:eastAsia="方正黑体_GBK" w:cs="方正黑体_GBK"/>
                <w:b w:val="0"/>
                <w:bCs w:val="0"/>
                <w:i w:val="0"/>
                <w:iCs w:val="0"/>
                <w:color w:val="auto"/>
                <w:kern w:val="0"/>
                <w:sz w:val="24"/>
                <w:szCs w:val="24"/>
                <w:highlight w:val="none"/>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auto"/>
                <w:kern w:val="0"/>
                <w:sz w:val="24"/>
                <w:szCs w:val="24"/>
                <w:highlight w:val="none"/>
                <w:u w:val="none"/>
                <w:lang w:val="en-US" w:eastAsia="zh-CN" w:bidi="ar"/>
              </w:rPr>
            </w:pPr>
            <w:r>
              <w:rPr>
                <w:rFonts w:hint="eastAsia" w:ascii="方正黑体_GBK" w:hAnsi="方正黑体_GBK" w:eastAsia="方正黑体_GBK" w:cs="方正黑体_GBK"/>
                <w:b w:val="0"/>
                <w:bCs w:val="0"/>
                <w:i w:val="0"/>
                <w:iCs w:val="0"/>
                <w:color w:val="auto"/>
                <w:kern w:val="0"/>
                <w:sz w:val="24"/>
                <w:szCs w:val="24"/>
                <w:highlight w:val="none"/>
                <w:u w:val="none"/>
                <w:lang w:val="en-US" w:eastAsia="zh-CN" w:bidi="ar"/>
              </w:rPr>
              <w:t>药品</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auto"/>
                <w:sz w:val="24"/>
                <w:szCs w:val="24"/>
                <w:highlight w:val="none"/>
                <w:u w:val="none"/>
              </w:rPr>
            </w:pPr>
            <w:r>
              <w:rPr>
                <w:rFonts w:hint="eastAsia" w:ascii="方正黑体_GBK" w:hAnsi="方正黑体_GBK" w:eastAsia="方正黑体_GBK" w:cs="方正黑体_GBK"/>
                <w:b w:val="0"/>
                <w:bCs w:val="0"/>
                <w:i w:val="0"/>
                <w:iCs w:val="0"/>
                <w:color w:val="auto"/>
                <w:kern w:val="0"/>
                <w:sz w:val="24"/>
                <w:szCs w:val="24"/>
                <w:highlight w:val="none"/>
                <w:u w:val="none"/>
                <w:lang w:val="en-US" w:eastAsia="zh-CN" w:bidi="ar"/>
              </w:rPr>
              <w:t>类别</w:t>
            </w:r>
          </w:p>
        </w:tc>
        <w:tc>
          <w:tcPr>
            <w:tcW w:w="27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auto"/>
                <w:sz w:val="24"/>
                <w:szCs w:val="24"/>
                <w:highlight w:val="none"/>
                <w:u w:val="none"/>
              </w:rPr>
            </w:pPr>
            <w:r>
              <w:rPr>
                <w:rFonts w:hint="eastAsia" w:ascii="方正黑体_GBK" w:hAnsi="方正黑体_GBK" w:eastAsia="方正黑体_GBK" w:cs="方正黑体_GBK"/>
                <w:b w:val="0"/>
                <w:bCs w:val="0"/>
                <w:i w:val="0"/>
                <w:iCs w:val="0"/>
                <w:color w:val="auto"/>
                <w:kern w:val="0"/>
                <w:sz w:val="24"/>
                <w:szCs w:val="24"/>
                <w:highlight w:val="none"/>
                <w:u w:val="none"/>
                <w:lang w:val="en-US" w:eastAsia="zh-CN" w:bidi="ar"/>
              </w:rPr>
              <w:t>药品名称</w:t>
            </w:r>
          </w:p>
        </w:tc>
        <w:tc>
          <w:tcPr>
            <w:tcW w:w="5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黑体_GBK" w:hAnsi="方正黑体_GBK" w:eastAsia="方正黑体_GBK" w:cs="方正黑体_GBK"/>
                <w:b w:val="0"/>
                <w:bCs w:val="0"/>
                <w:i w:val="0"/>
                <w:iCs w:val="0"/>
                <w:color w:val="auto"/>
                <w:sz w:val="24"/>
                <w:szCs w:val="24"/>
                <w:highlight w:val="none"/>
                <w:u w:val="none"/>
              </w:rPr>
            </w:pPr>
            <w:r>
              <w:rPr>
                <w:rFonts w:hint="eastAsia" w:ascii="方正黑体_GBK" w:hAnsi="方正黑体_GBK" w:eastAsia="方正黑体_GBK" w:cs="方正黑体_GBK"/>
                <w:b w:val="0"/>
                <w:bCs w:val="0"/>
                <w:i w:val="0"/>
                <w:iCs w:val="0"/>
                <w:color w:val="auto"/>
                <w:kern w:val="0"/>
                <w:sz w:val="24"/>
                <w:szCs w:val="24"/>
                <w:highlight w:val="none"/>
                <w:u w:val="none"/>
                <w:lang w:val="en-US" w:eastAsia="zh-CN" w:bidi="ar"/>
              </w:rPr>
              <w:t>医保支付范围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注射用奥马珠单抗</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1.经吸入型糖皮质激素和长效吸入型β2-肾上腺素受体激动剂治疗后，仍不能有效控制症状的中至重度持续性过敏性哮喘的6岁及以上患者，并需IgE(免疫球蛋白E)介导确诊证据；2.H1抗组胺药治疗后仍有症状的成人和青少年(12岁及以上)慢性自发性荨麻疹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多种微量元素注射液(Ⅲ)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限与肠外营养药物配合使用时支付，单独使用不予支付。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复方氨基酸(16AA)/葡萄糖(12.6%)电解质注射液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需经营养风险筛查，明确具有营养风险，且不能经饮食或“肠内营养剂”补充足够营养的住院患者方予支付。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波生坦片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限WHO功能分级Ⅱ级-Ⅳ级的肺动脉高压(WHO第1组)的患者。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司来帕格片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限WHO功能分级Ⅱ级-Ⅲ级的肺动脉高压(WHO第1组)的患者。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注射用重组人脑利钠肽</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限二级及以上医疗机构用于规范治疗效果不佳的急性失代偿性心力衰竭短期治疗。住院方可支付，单次支付不超过3天。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来特莫韦注射液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限接受异基因造血干细胞移植(HSCT)的巨细胞病毒(CMV)血清学阳性的成人和6个月及以上且体重≥6 kg的儿童受者[R+]预防巨细胞病毒感染和巨细胞病毒病。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阿帕他胺片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限：1.转移性内分泌治疗敏感性前列腺癌(mHSPC)成年患者；2.有高危转移风险的非转移性去势抵抗性前列腺癌(NM-CRPC)成年患者。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雷珠单抗注射液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限：1.50岁以上的湿性年龄相关性黄斑变性(AMD)；2.糖尿病性黄斑水肿(DME)引起的视力损害；3.脉络膜新生血管(CNV)导致的视力损害；4.继发于视网膜静脉阻塞(RVO)的黄斑水肿引起的视力损害。</w:t>
            </w:r>
            <w:r>
              <w:rPr>
                <w:rFonts w:hint="eastAsia" w:ascii="仿宋_GB2312" w:hAnsi="宋体" w:eastAsia="仿宋_GB2312" w:cs="仿宋_GB2312"/>
                <w:i w:val="0"/>
                <w:iCs w:val="0"/>
                <w:color w:val="auto"/>
                <w:kern w:val="0"/>
                <w:sz w:val="20"/>
                <w:szCs w:val="20"/>
                <w:highlight w:val="none"/>
                <w:u w:val="none"/>
                <w:lang w:val="en-US" w:eastAsia="zh-CN" w:bidi="ar"/>
              </w:rPr>
              <w:br w:type="textWrapping"/>
            </w:r>
            <w:r>
              <w:rPr>
                <w:rFonts w:hint="eastAsia" w:ascii="仿宋_GB2312" w:hAnsi="宋体" w:eastAsia="仿宋_GB2312" w:cs="仿宋_GB2312"/>
                <w:i w:val="0"/>
                <w:iCs w:val="0"/>
                <w:color w:val="auto"/>
                <w:kern w:val="0"/>
                <w:sz w:val="20"/>
                <w:szCs w:val="20"/>
                <w:highlight w:val="none"/>
                <w:u w:val="none"/>
                <w:lang w:val="en-US" w:eastAsia="zh-CN" w:bidi="ar"/>
              </w:rPr>
              <w:t>应同时符合以下条件：1.需三级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布西珠单抗的药品支数合并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布比卡因脂质体注射液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限：1.12岁及以上的患者单剂量浸润产生术后局部镇痛；2.成人肌间沟臂丛神经阻滞产生术后区域镇痛；3.成人腘窝坐骨神经阻滞产生术后区域镇痛；4.成人收肌管阻滞产生术后区域镇痛。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枸橼酸钠血滤置换液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芦曲泊帕片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限计划接受手术(含诊断性操作)的慢性肝病伴血小板减少症的成年患者。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磷酸芦可替尼片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1.中危或高危的原发性骨髓纤维化(PMF)(亦称为慢性特发性骨髓纤维化)、真性红细胞增多症继发的骨髓纤维化(PPV-MF)或原发性血小板增多症继发的骨髓纤维化(PET-MF)的成年患者；2.对糖皮质激素或其他系统治疗应答不充分的12岁及以上急性移植物抗宿主病(急性GVHD)或慢性移植物抗宿主病(慢性GVHD)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注射用重组人凝血因子Ⅶa</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下列患者群体出血的治疗，以及外科手术或有创操作出血的防治：1.凝血因子Ⅷ或Ⅸ的抑制物＞5个Bethesda单位(BU)的先天性血友病患者；预计对注射凝血因子Ⅷ或凝血因子Ⅸ，具有高记忆应答的先天性血友病患者；2.获得性血友病患者；3.先天性凝血因子Ⅶ(FⅦ)缺乏症患者；4.具有血小板膜糖蛋白Ⅱb-Ⅲa(GPⅡb-Ⅲa)和/或人白细胞抗原(HLA)抗体和既往或现在对血小板输注无效或不佳的血小板无力症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本维莫德乳膏</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限成人轻至中度稳定性寻常型银屑病的局部治疗。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center"/>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乌司奴单抗注射液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80" w:lineRule="exact"/>
              <w:jc w:val="left"/>
              <w:textAlignment w:val="center"/>
              <w:rPr>
                <w:rFonts w:hint="eastAsia" w:ascii="仿宋_GB2312" w:hAnsi="宋体" w:eastAsia="仿宋_GB2312" w:cs="仿宋_GB2312"/>
                <w:i w:val="0"/>
                <w:iCs w:val="0"/>
                <w:color w:val="auto"/>
                <w:sz w:val="20"/>
                <w:szCs w:val="20"/>
                <w:highlight w:val="none"/>
                <w:u w:val="none"/>
              </w:rPr>
            </w:pPr>
            <w:r>
              <w:rPr>
                <w:rFonts w:hint="eastAsia" w:ascii="仿宋_GB2312" w:hAnsi="宋体" w:eastAsia="仿宋_GB2312" w:cs="仿宋_GB2312"/>
                <w:i w:val="0"/>
                <w:iCs w:val="0"/>
                <w:color w:val="auto"/>
                <w:kern w:val="0"/>
                <w:sz w:val="20"/>
                <w:szCs w:val="20"/>
                <w:highlight w:val="none"/>
                <w:u w:val="none"/>
                <w:lang w:val="en-US" w:eastAsia="zh-CN" w:bidi="ar"/>
              </w:rPr>
              <w:t>限：1.对环孢素、甲氨喋呤(MTX)等其他系统性治疗或PUVA(补骨脂素和紫外线A)不应答、有禁忌或无法耐受的成年中重度斑块状银屑病患者；2.对其他系统性治疗或光疗应答不足或无法耐受的6岁及以上儿童和青少年中重度斑块状银屑病患者；3.对传统治疗或肿瘤坏死因子α(TNFα)拮抗剂应答不足、失应答或无法耐受的成年中重度活动性克罗恩病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西罗莫司凝胶</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限成人和6岁及以上儿童患者的结节性硬化症相关面部血管纤维瘤。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克立硼罗软膏</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限3月龄及以上的轻度至中度特应性皮炎患者。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达格列净二甲双胍缓释片(Ⅰ)</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琥珀酸地文拉法辛缓释片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盐酸氟西汀口服溶液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spacing w:val="-6"/>
                <w:kern w:val="0"/>
                <w:sz w:val="20"/>
                <w:szCs w:val="20"/>
                <w:u w:val="none"/>
                <w:lang w:val="en-US" w:eastAsia="zh-CN" w:bidi="ar"/>
              </w:rPr>
              <w:t>复方聚乙二醇(3350)电解质散</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美沙拉秦肠溶缓释胶囊</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德谷门冬双胰岛素注射液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限其他胰岛素或口服药难以控制的2型糖尿病患者。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注射用头孢唑林钠/氯化钠注射液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spacing w:val="-11"/>
                <w:kern w:val="0"/>
                <w:sz w:val="20"/>
                <w:szCs w:val="20"/>
                <w:u w:val="none"/>
                <w:lang w:val="en-US" w:eastAsia="zh-CN" w:bidi="ar"/>
              </w:rPr>
              <w:t>注射用头孢他啶/氯化钠注射液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奥美拉唑碳酸氢钠干混悬剂(Ⅱ)</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限活动性良性胃溃疡。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美阿沙坦钾片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昂丹司琼口溶膜</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瑞舒伐他汀依折麦布片(Ⅰ)</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限：1.他汀类药物单药治疗LDL-C无法达标的成人原发性(杂合子型家族性或非家族性)高胆固醇血症或混合性高脂血症患者；2.降低纯合子型家族性高胆固醇血症(HoFH)患者的TC和LDL-C水平。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依折麦布阿托伐他汀钙片(Ⅱ)</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限：1.他汀类药物单药治疗LDL-C无法达标的成人原发性(杂合子型家族性或非家族性)高胆固醇血症或混合性高脂血症患者；2.降低纯合子型家族性高胆固醇血症(HoFH)患者的TC和LDL-C水平。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氯巴占片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限2岁及以上Lennox-Gastaut综合征(LGS)患者癫痫发作的联合治疗。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黄体酮注射液(Ⅱ)</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限辅助生殖技术(ART)中黄体酮的补充治疗，适用于不能使用或不能耐受阴道制剂的女性。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中成药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复方黄黛片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限初治的急性早幼粒细胞白血病。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中成药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注射用黄芪多糖</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限二级及以上医疗机构肿瘤患者，住院方可支付，单次最多支付14天。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中成药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一贯煎颗粒</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中成药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温经汤颗粒</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阿利沙坦酯片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限轻、中度原发性高血压。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甲磺酸阿帕替尼片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1.既往至少接受过2种系统化疗后进展或复发的晚期胃腺癌或胃-食管结合部腺癌患者；2.既往接受过至少一线系统性治疗后失败或不可耐受的晚期肝细胞癌患者；3.不可切除或转移性肝细胞癌患者的一线治疗；4.联合氟唑帕利用于新辅助、辅助或转移阶段接受过化疗治疗的伴有胚系BRCA突变(gBRCAm)的人表皮生长因子受体(HER2)阴性转移性乳腺癌成年患者，激素受体(HR)阳性乳腺癌患者既往需接受过内分泌治疗或被认为不适合接受内分泌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尼妥珠单抗注射液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限：1.与放疗联合治疗局部晚期鼻咽癌；2.与同步放化疗联合治疗局部晚期头颈部鳞癌。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重组人血管内皮抑制素注射液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限晚期非小细胞肺癌患者。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西达本胺片</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1.既往至少接受过一次全身化疗的复发或难治的外周T细胞淋巴瘤(PTCL)患者；2.联合R-CHOP(利妥昔单抗、环磷酰胺、阿霉素、长春新碱和强的松)用于MYC和BCL2表达阳性的既往未经治疗的弥漫大B细胞淋巴瘤(DLBCL)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jc w:val="center"/>
        </w:trPr>
        <w:tc>
          <w:tcPr>
            <w:tcW w:w="6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西药</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康柏西普眼用注射液</w:t>
            </w:r>
          </w:p>
        </w:tc>
        <w:tc>
          <w:tcPr>
            <w:tcW w:w="5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限:1.50岁以上的湿性年龄相关性黄斑变性(AMD)；2.糖尿病性黄斑水肿(DME)引起的视力损害；3.脉络膜新生血管(CNV)导致的视力损害；4.继发于视网膜静脉阻塞(RVO)(视网膜分支静脉阻塞(BRVO)或视网膜中央静脉阻塞(CRVO)的黄斑水肿引起的视力损伤。</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应同时符合以下条件：1.需三级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布西珠单抗的药品支数合并计算。</w:t>
            </w:r>
          </w:p>
        </w:tc>
      </w:tr>
    </w:tbl>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方正仿宋_GBK" w:hAnsi="方正仿宋_GBK" w:eastAsia="方正仿宋_GBK" w:cs="方正仿宋_GBK"/>
          <w:vanish/>
          <w:sz w:val="32"/>
          <w:szCs w:val="32"/>
          <w:lang w:val="en-US" w:eastAsia="zh-CN"/>
        </w:rPr>
      </w:pPr>
      <w:bookmarkStart w:id="1" w:name="_GoBack"/>
      <w:r>
        <w:rPr>
          <w:rFonts w:ascii="Times New Roman" w:hAnsi="Times New Roman" w:eastAsia="宋体" w:cs="Times New Roman"/>
          <w:vanish/>
          <w:sz w:val="21"/>
          <w:szCs w:val="22"/>
        </w:rPr>
        <w:br w:type="page"/>
      </w:r>
      <w:bookmarkEnd w:id="1"/>
    </w:p>
    <w:p>
      <w:pPr>
        <w:keepNext w:val="0"/>
        <w:keepLines w:val="0"/>
        <w:pageBreakBefore w:val="0"/>
        <w:widowControl w:val="0"/>
        <w:kinsoku/>
        <w:wordWrap/>
        <w:overflowPunct/>
        <w:topLinePunct w:val="0"/>
        <w:autoSpaceDE/>
        <w:autoSpaceDN/>
        <w:bidi w:val="0"/>
        <w:adjustRightInd/>
        <w:spacing w:line="600" w:lineRule="exact"/>
        <w:textAlignment w:val="auto"/>
        <w:rPr>
          <w:rFonts w:ascii="Times New Roman" w:hAnsi="Times New Roman" w:eastAsia="方正小标宋_GBK" w:cs="方正小标宋_GBK"/>
          <w:vanish/>
          <w:sz w:val="44"/>
          <w:szCs w:val="44"/>
        </w:rPr>
      </w:pPr>
      <w:r>
        <w:rPr>
          <w:rFonts w:ascii="Times New Roman" w:hAnsi="Times New Roman" w:eastAsia="方正小标宋_GBK" w:cs="方正小标宋_GBK"/>
          <w:vanish/>
          <w:sz w:val="44"/>
          <w:szCs w:val="44"/>
        </w:rPr>
        <w:br w:type="page"/>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ascii="Times New Roman" w:hAnsi="Times New Roman" w:eastAsia="方正小标宋_GBK" w:cs="方正小标宋_GBK"/>
          <w:vanish/>
          <w:sz w:val="44"/>
          <w:szCs w:val="44"/>
        </w:rPr>
      </w:pPr>
    </w:p>
    <w:p>
      <w:pPr>
        <w:rPr>
          <w:rFonts w:ascii="方正仿宋_GBK" w:hAnsi="Calibri" w:eastAsia="方正仿宋_GBK"/>
          <w:b/>
          <w:bCs/>
          <w:vanish/>
          <w:sz w:val="32"/>
          <w:szCs w:val="32"/>
        </w:rPr>
      </w:pPr>
    </w:p>
    <w:p>
      <w:pPr>
        <w:rPr>
          <w:rFonts w:ascii="Calibri" w:hAnsi="Calibri" w:eastAsia="宋体"/>
          <w:vanish/>
          <w:sz w:val="21"/>
          <w:szCs w:val="22"/>
        </w:rPr>
      </w:pPr>
    </w:p>
    <w:p>
      <w:pPr>
        <w:rPr>
          <w:rFonts w:ascii="Calibri" w:hAnsi="Calibri" w:eastAsia="宋体"/>
          <w:vanish/>
          <w:sz w:val="21"/>
          <w:szCs w:val="22"/>
        </w:rPr>
      </w:pPr>
    </w:p>
    <w:p>
      <w:pPr>
        <w:rPr>
          <w:rFonts w:ascii="Calibri" w:hAnsi="Calibri" w:eastAsia="宋体"/>
          <w:vanish/>
          <w:sz w:val="21"/>
          <w:szCs w:val="22"/>
        </w:rPr>
      </w:pPr>
    </w:p>
    <w:p>
      <w:pPr>
        <w:rPr>
          <w:rFonts w:ascii="Calibri" w:hAnsi="Calibri" w:eastAsia="宋体"/>
          <w:vanish/>
          <w:sz w:val="21"/>
          <w:szCs w:val="22"/>
        </w:rPr>
      </w:pPr>
    </w:p>
    <w:p>
      <w:pPr>
        <w:keepNext/>
        <w:keepLines/>
        <w:widowControl w:val="0"/>
        <w:spacing w:before="340" w:after="330" w:line="578" w:lineRule="auto"/>
        <w:jc w:val="both"/>
        <w:outlineLvl w:val="0"/>
        <w:rPr>
          <w:rFonts w:ascii="Calibri" w:hAnsi="Calibri" w:eastAsia="宋体" w:cs="Times New Roman"/>
          <w:b/>
          <w:bCs/>
          <w:vanish/>
          <w:kern w:val="44"/>
          <w:sz w:val="21"/>
          <w:szCs w:val="22"/>
          <w:lang w:val="en-US" w:eastAsia="zh-CN" w:bidi="ar-SA"/>
        </w:rPr>
      </w:pPr>
    </w:p>
    <w:p>
      <w:pPr>
        <w:rPr>
          <w:rFonts w:ascii="Times New Roman" w:hAnsi="Times New Roman" w:eastAsia="宋体" w:cs="Times New Roman"/>
          <w:vanish/>
        </w:rPr>
      </w:pPr>
    </w:p>
    <w:p>
      <w:pPr>
        <w:pStyle w:val="2"/>
        <w:rPr>
          <w:vanish/>
        </w:rPr>
        <w:sectPr>
          <w:headerReference r:id="rId3" w:type="default"/>
          <w:footerReference r:id="rId4" w:type="default"/>
          <w:pgSz w:w="11905" w:h="16838"/>
          <w:pgMar w:top="1962" w:right="1474" w:bottom="1848" w:left="1587" w:header="851" w:footer="992" w:gutter="0"/>
          <w:pgNumType w:fmt="numberInDash"/>
          <w:cols w:space="0" w:num="1"/>
          <w:rtlGutter w:val="0"/>
          <w:docGrid w:type="lines" w:linePitch="336" w:charSpace="0"/>
        </w:sect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方正黑体_GBK" w:hAnsi="方正黑体_GBK" w:eastAsia="方正黑体_GBK" w:cs="方正黑体_GBK"/>
          <w:vanish/>
          <w:kern w:val="0"/>
          <w:sz w:val="32"/>
          <w:szCs w:val="32"/>
          <w:shd w:val="clear" w:color="auto" w:fill="FFFFFF"/>
          <w:lang w:val="en-US" w:eastAsia="zh-CN" w:bidi="ar-SA"/>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方正黑体_GBK" w:hAnsi="方正黑体_GBK" w:eastAsia="方正黑体_GBK" w:cs="方正黑体_GBK"/>
          <w:vanish/>
          <w:kern w:val="0"/>
          <w:sz w:val="32"/>
          <w:szCs w:val="32"/>
          <w:shd w:val="clear" w:color="auto" w:fill="FFFFFF"/>
          <w:lang w:val="en-US" w:eastAsia="zh-CN" w:bidi="ar-SA"/>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jc w:val="both"/>
        <w:textAlignment w:val="auto"/>
        <w:rPr>
          <w:rFonts w:hint="eastAsia" w:ascii="Times New Roman" w:hAnsi="Times New Roman" w:eastAsia="方正仿宋_GBK" w:cs="方正仿宋_GBK"/>
          <w:vanish/>
          <w:kern w:val="0"/>
          <w:sz w:val="32"/>
          <w:szCs w:val="32"/>
          <w:shd w:val="clear" w:color="auto" w:fill="FFFFFF"/>
          <w:lang w:val="en-US" w:eastAsia="zh-CN" w:bidi="ar-SA"/>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20" w:lineRule="exact"/>
        <w:jc w:val="both"/>
        <w:textAlignment w:val="auto"/>
        <w:rPr>
          <w:rFonts w:hint="eastAsia" w:ascii="Times New Roman" w:hAnsi="Times New Roman" w:eastAsia="方正仿宋_GBK" w:cs="方正仿宋_GBK"/>
          <w:vanish/>
          <w:kern w:val="0"/>
          <w:sz w:val="32"/>
          <w:szCs w:val="32"/>
          <w:shd w:val="clear" w:color="auto" w:fill="FFFFFF"/>
          <w:lang w:val="en-US" w:eastAsia="zh-CN" w:bidi="ar-SA"/>
        </w:rPr>
      </w:pPr>
    </w:p>
    <w:p>
      <w:pPr>
        <w:rPr>
          <w:rFonts w:hint="eastAsia" w:ascii="Times New Roman" w:hAnsi="Times New Roman" w:eastAsia="方正仿宋_GBK" w:cs="Times New Roman"/>
          <w:vanish/>
          <w:color w:val="000000"/>
          <w:sz w:val="32"/>
          <w:szCs w:val="20"/>
        </w:rPr>
      </w:pPr>
    </w:p>
    <w:p>
      <w:pPr>
        <w:pStyle w:val="2"/>
        <w:rPr>
          <w:vanish/>
        </w:rPr>
        <w:sectPr>
          <w:pgSz w:w="11905" w:h="16838"/>
          <w:pgMar w:top="1474" w:right="1984" w:bottom="1587" w:left="2098" w:header="851" w:footer="992" w:gutter="0"/>
          <w:pgNumType w:fmt="numberInDash"/>
          <w:cols w:space="0" w:num="1"/>
          <w:rtlGutter w:val="0"/>
          <w:docGrid w:type="lines" w:linePitch="336" w:charSpace="0"/>
        </w:sectPr>
      </w:pPr>
    </w:p>
    <w:p>
      <w:pPr>
        <w:keepNext w:val="0"/>
        <w:keepLines w:val="0"/>
        <w:pageBreakBefore w:val="0"/>
        <w:widowControl/>
        <w:kinsoku/>
        <w:wordWrap/>
        <w:overflowPunct/>
        <w:topLinePunct w:val="0"/>
        <w:bidi w:val="0"/>
        <w:adjustRightInd w:val="0"/>
        <w:snapToGrid w:val="0"/>
        <w:spacing w:line="560" w:lineRule="exact"/>
        <w:ind w:left="0" w:leftChars="0"/>
        <w:jc w:val="center"/>
        <w:textAlignment w:val="auto"/>
        <w:rPr>
          <w:rFonts w:ascii="Times New Roman" w:hAnsi="Times New Roman" w:eastAsia="仿宋_GB2312" w:cs="Times New Roman"/>
          <w:vanish/>
          <w:sz w:val="32"/>
          <w:szCs w:val="20"/>
        </w:rPr>
      </w:pPr>
    </w:p>
    <w:p>
      <w:pPr>
        <w:rPr>
          <w:rFonts w:hint="eastAsia"/>
          <w:vanish/>
          <w:lang w:val="en-US" w:eastAsia="zh-CN"/>
        </w:rPr>
        <w:sectPr>
          <w:pgSz w:w="11905" w:h="16838"/>
          <w:pgMar w:top="1474" w:right="1984" w:bottom="1587" w:left="2098" w:header="851" w:footer="992" w:gutter="0"/>
          <w:pgNumType w:fmt="numberInDash"/>
          <w:cols w:space="0" w:num="1"/>
          <w:rtlGutter w:val="0"/>
          <w:docGrid w:type="lines" w:linePitch="336" w:charSpace="0"/>
        </w:sectPr>
      </w:pPr>
    </w:p>
    <w:p>
      <w:pPr>
        <w:pStyle w:val="2"/>
        <w:rPr>
          <w:rFonts w:hint="eastAsia"/>
          <w:vanish/>
          <w:lang w:val="en-US" w:eastAsia="zh-CN"/>
        </w:rPr>
      </w:pPr>
    </w:p>
    <w:p>
      <w:pPr>
        <w:rPr>
          <w:rFonts w:hint="eastAsia"/>
          <w:vanish/>
          <w:lang w:val="en-US" w:eastAsia="zh-CN"/>
        </w:rPr>
        <w:sectPr>
          <w:pgSz w:w="11905" w:h="16838"/>
          <w:pgMar w:top="1474" w:right="1984" w:bottom="1587" w:left="2098" w:header="851" w:footer="992" w:gutter="0"/>
          <w:pgNumType w:fmt="numberInDash"/>
          <w:cols w:space="0" w:num="1"/>
          <w:rtlGutter w:val="0"/>
          <w:docGrid w:type="lines" w:linePitch="336" w:charSpace="0"/>
        </w:sectPr>
      </w:pPr>
    </w:p>
    <w:p>
      <w:pPr>
        <w:rPr>
          <w:rFonts w:ascii="Times New Roman" w:hAnsi="Times New Roman"/>
          <w:vanish/>
          <w:szCs w:val="24"/>
        </w:rPr>
      </w:pPr>
      <w:r>
        <w:rPr>
          <w:rFonts w:hint="eastAsia" w:ascii="Times New Roman" w:hAnsi="Times New Roman" w:eastAsia="仿宋_GB2312" w:cs="Times New Roman"/>
          <w:vanish/>
          <w:sz w:val="32"/>
          <w:szCs w:val="32"/>
        </w:rPr>
        <w:br w:type="page"/>
      </w: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rPr>
          <w:rFonts w:ascii="Times New Roman" w:hAnsi="Times New Roman"/>
          <w:vanish/>
          <w:szCs w:val="24"/>
        </w:rPr>
      </w:pPr>
    </w:p>
    <w:p>
      <w:pPr>
        <w:keepNext/>
        <w:keepLines/>
        <w:widowControl w:val="0"/>
        <w:spacing w:before="340" w:after="330" w:line="578" w:lineRule="auto"/>
        <w:jc w:val="both"/>
        <w:outlineLvl w:val="0"/>
        <w:rPr>
          <w:rFonts w:hint="eastAsia" w:ascii="Times New Roman" w:hAnsi="Times New Roman" w:eastAsia="宋体" w:cs="Times New Roman"/>
          <w:b/>
          <w:bCs/>
          <w:vanish/>
          <w:kern w:val="44"/>
          <w:sz w:val="44"/>
          <w:szCs w:val="4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0" w:name="公章"/>
      <w:bookmarkEnd w:id="0"/>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pgSz w:w="11905" w:h="16838"/>
      <w:pgMar w:top="1474" w:right="1984" w:bottom="1587" w:left="2098" w:header="851" w:footer="992" w:gutter="0"/>
      <w:pgNumType w:fmt="numberInDash"/>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Lines="150"/>
      <w:jc w:val="left"/>
      <w:rPr>
        <w:rFonts w:hint="eastAsia" w:ascii="宋体" w:hAnsi="宋体" w:cs="宋体"/>
        <w:b/>
        <w:bCs/>
        <w:color w:val="005192"/>
        <w:sz w:val="32"/>
        <w:szCs w:val="32"/>
        <w:lang w:val="en-US"/>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p>
    <w:pPr>
      <w:pStyle w:val="7"/>
      <w:keepNext w:val="0"/>
      <w:keepLines w:val="0"/>
      <w:pageBreakBefore w:val="0"/>
      <w:widowControl w:val="0"/>
      <w:pBdr>
        <w:bottom w:val="none" w:color="auto" w:sz="0" w:space="0"/>
      </w:pBdr>
      <w:kinsoku/>
      <w:wordWrap/>
      <w:overflowPunct/>
      <w:topLinePunct w:val="0"/>
      <w:autoSpaceDE/>
      <w:autoSpaceDN/>
      <w:bidi w:val="0"/>
      <w:adjustRightInd/>
      <w:snapToGrid w:val="0"/>
      <w:jc w:val="left"/>
      <w:textAlignment w:val="auto"/>
      <w:rPr>
        <w:rFonts w:hint="eastAsia" w:ascii="宋体" w:hAnsi="宋体" w:cs="宋体"/>
        <w:b/>
        <w:bCs/>
        <w:color w:val="005192"/>
        <w:sz w:val="32"/>
        <w:szCs w:val="3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68"/>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69B5865"/>
    <w:rsid w:val="08FE7C34"/>
    <w:rsid w:val="09013BBB"/>
    <w:rsid w:val="09C724A7"/>
    <w:rsid w:val="0B195B80"/>
    <w:rsid w:val="0C410ADE"/>
    <w:rsid w:val="0DFB2D22"/>
    <w:rsid w:val="16D81DB6"/>
    <w:rsid w:val="174775C1"/>
    <w:rsid w:val="19F26BB1"/>
    <w:rsid w:val="1A7754F8"/>
    <w:rsid w:val="1B0753E2"/>
    <w:rsid w:val="1C03787B"/>
    <w:rsid w:val="1F66431E"/>
    <w:rsid w:val="1F6B6086"/>
    <w:rsid w:val="1FF2314D"/>
    <w:rsid w:val="20CD7DFF"/>
    <w:rsid w:val="20E3156C"/>
    <w:rsid w:val="216632C4"/>
    <w:rsid w:val="21827243"/>
    <w:rsid w:val="23C54B29"/>
    <w:rsid w:val="246F043F"/>
    <w:rsid w:val="250948EB"/>
    <w:rsid w:val="25B67322"/>
    <w:rsid w:val="261C1009"/>
    <w:rsid w:val="26FE3319"/>
    <w:rsid w:val="27851AC3"/>
    <w:rsid w:val="2B1D7252"/>
    <w:rsid w:val="2B372E74"/>
    <w:rsid w:val="2BC52E85"/>
    <w:rsid w:val="2C0679BF"/>
    <w:rsid w:val="2DEC6BE5"/>
    <w:rsid w:val="2E593E6B"/>
    <w:rsid w:val="2EA678A8"/>
    <w:rsid w:val="2FBD190A"/>
    <w:rsid w:val="310205E4"/>
    <w:rsid w:val="314372AE"/>
    <w:rsid w:val="31667E06"/>
    <w:rsid w:val="324E1D58"/>
    <w:rsid w:val="32DA5548"/>
    <w:rsid w:val="335B486B"/>
    <w:rsid w:val="369E4EAA"/>
    <w:rsid w:val="39227C70"/>
    <w:rsid w:val="3A0972FD"/>
    <w:rsid w:val="3A681A91"/>
    <w:rsid w:val="3CC11305"/>
    <w:rsid w:val="3E8C7CCF"/>
    <w:rsid w:val="3EF16A9D"/>
    <w:rsid w:val="40671451"/>
    <w:rsid w:val="40CB1594"/>
    <w:rsid w:val="41533E94"/>
    <w:rsid w:val="41A430E3"/>
    <w:rsid w:val="425D4AC6"/>
    <w:rsid w:val="43350544"/>
    <w:rsid w:val="44897362"/>
    <w:rsid w:val="44BE37CF"/>
    <w:rsid w:val="45A537EA"/>
    <w:rsid w:val="464D005F"/>
    <w:rsid w:val="48572A95"/>
    <w:rsid w:val="4A280732"/>
    <w:rsid w:val="4A737D7A"/>
    <w:rsid w:val="4A9A45D5"/>
    <w:rsid w:val="4A9F2515"/>
    <w:rsid w:val="4D3B4FB8"/>
    <w:rsid w:val="4E5F467B"/>
    <w:rsid w:val="53AD1103"/>
    <w:rsid w:val="546D5C10"/>
    <w:rsid w:val="54E36229"/>
    <w:rsid w:val="554B02CC"/>
    <w:rsid w:val="556D5B9C"/>
    <w:rsid w:val="589B50B4"/>
    <w:rsid w:val="59312802"/>
    <w:rsid w:val="5BEE4C02"/>
    <w:rsid w:val="5F1B253F"/>
    <w:rsid w:val="5F78236B"/>
    <w:rsid w:val="602461BE"/>
    <w:rsid w:val="60D764BD"/>
    <w:rsid w:val="60E9359A"/>
    <w:rsid w:val="6314426C"/>
    <w:rsid w:val="631B4721"/>
    <w:rsid w:val="633529D8"/>
    <w:rsid w:val="63936688"/>
    <w:rsid w:val="699A3F3C"/>
    <w:rsid w:val="6CF5407A"/>
    <w:rsid w:val="6FAC2205"/>
    <w:rsid w:val="75671C1B"/>
    <w:rsid w:val="7874644F"/>
    <w:rsid w:val="791E0F5E"/>
    <w:rsid w:val="7B1A16F5"/>
    <w:rsid w:val="7CCA0390"/>
    <w:rsid w:val="7E933500"/>
    <w:rsid w:val="7FFF4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3"/>
    <w:semiHidden/>
    <w:unhideWhenUsed/>
    <w:qFormat/>
    <w:uiPriority w:val="99"/>
    <w:pPr>
      <w:jc w:val="center"/>
    </w:pPr>
    <w:rPr>
      <w:lang w:val="zh-CN"/>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semiHidden/>
    <w:unhideWhenUsed/>
    <w:qFormat/>
    <w:uiPriority w:val="99"/>
    <w:pPr>
      <w:tabs>
        <w:tab w:val="center" w:pos="4153"/>
        <w:tab w:val="right" w:pos="8306"/>
      </w:tabs>
      <w:snapToGrid w:val="0"/>
      <w:jc w:val="left"/>
    </w:pPr>
    <w:rPr>
      <w:kern w:val="0"/>
      <w:sz w:val="18"/>
      <w:szCs w:val="18"/>
      <w:lang w:val="zh-CN"/>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正文文本 Char"/>
    <w:semiHidden/>
    <w:qFormat/>
    <w:uiPriority w:val="99"/>
    <w:rPr>
      <w:kern w:val="2"/>
      <w:sz w:val="21"/>
      <w:szCs w:val="22"/>
    </w:rPr>
  </w:style>
  <w:style w:type="character" w:customStyle="1" w:styleId="13">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4">
    <w:name w:val="批注框文本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4</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胡娟</cp:lastModifiedBy>
  <cp:lastPrinted>2023-03-10T07:08:00Z</cp:lastPrinted>
  <dcterms:modified xsi:type="dcterms:W3CDTF">2026-03-24T07:08:58Z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6B34F95448CD423EB56A5C3D91301F88</vt:lpwstr>
  </property>
</Properties>
</file>