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规范血液系统、精神治疗类医疗服务价格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项目及医保支付政策的通知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47</w:t>
      </w:r>
      <w:r>
        <w:rPr>
          <w:rFonts w:hint="eastAsia" w:ascii="Calibri" w:hAnsi="Calibri"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default" w:ascii="Times New Roman" w:hAnsi="Times New Roman" w:eastAsia="方正仿宋_GBK" w:cs="Times New Roman"/>
          <w:i w:val="0"/>
          <w:iCs w:val="0"/>
          <w:caps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jc w:val="both"/>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为贯彻落实国家医保局等8部门《关于印发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深化医疗服务价格改革试点方案〉的通知》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医保发〔2021〕41号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精神，统一</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按照</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国家医保局《关于印发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医疗服务价格项目立项指南</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5</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26</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）和</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医疗服务价格项目立项指南</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医保价采函〔2024〕</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241</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要求，经研究，决定</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我市</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并将部分医疗服务项目纳入基本医疗保险基金支付范围，现就有关事项通知如下</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共3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1项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（主项目25项、加收项</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6</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详见附件1</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，停用原执行价格项目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93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二</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明确</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综合考虑临床需要、基金支付能力和价格等因素，明确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医疗服务价格项目医保支付类别（详见附件1）。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三</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、有关要求</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四</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、本通知自202</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6</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年</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1</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附件：</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1</w:t>
      </w:r>
      <w:r>
        <w:rPr>
          <w:rFonts w:hint="eastAsia"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1600"/>
        <w:jc w:val="both"/>
        <w:textAlignment w:val="auto"/>
        <w:rPr>
          <w:rFonts w:hint="default" w:ascii="Times New Roman" w:hAnsi="Times New Roman" w:eastAsia="宋体" w:cs="Times New Roman"/>
          <w:snapToGrid w:val="0"/>
          <w:sz w:val="32"/>
          <w:szCs w:val="32"/>
        </w:rPr>
      </w:pPr>
      <w:r>
        <w:rPr>
          <w:rFonts w:hint="eastAsia"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270" w:right="0" w:hanging="5270" w:hangingChars="17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270" w:right="0" w:hanging="5270" w:hangingChars="17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1050" w:rightChars="500" w:firstLine="0" w:firstLineChars="0"/>
        <w:jc w:val="right"/>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928" w:firstLineChars="290"/>
        <w:jc w:val="both"/>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2025</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年12月</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12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　　</w:t>
      </w:r>
    </w:p>
    <w:p>
      <w:pPr>
        <w:pStyle w:val="2"/>
        <w:numPr>
          <w:ilvl w:val="0"/>
          <w:numId w:val="0"/>
        </w:num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pPr>
      <w:r>
        <w:rPr>
          <w:rFonts w:hint="eastAsia" w:ascii="Times New Roman" w:hAnsi="Times New Roman" w:eastAsia="方正黑体_GBK" w:cs="方正黑体_GBK"/>
          <w:i w:val="0"/>
          <w:iCs w:val="0"/>
          <w:caps w:val="0"/>
          <w:snapToGrid w:val="0"/>
          <w:color w:val="000000"/>
          <w:spacing w:val="0"/>
          <w:kern w:val="0"/>
          <w:sz w:val="32"/>
          <w:szCs w:val="32"/>
          <w:shd w:val="clear" w:color="auto" w:fill="FFFFFF"/>
          <w:lang w:val="en-US" w:eastAsia="zh-CN" w:bidi="ar"/>
        </w:rPr>
        <w:t xml:space="preserve">附件1    </w:t>
      </w:r>
      <w:r>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bidi="ar"/>
        </w:rPr>
      </w:pPr>
      <w:r>
        <w:rPr>
          <w:rFonts w:hint="default"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 xml:space="preserve">     </w:t>
      </w: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血液系统、精神治疗类医疗服务价格项目表</w:t>
      </w:r>
    </w:p>
    <w:tbl>
      <w:tblPr>
        <w:tblStyle w:val="8"/>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
        <w:gridCol w:w="1453"/>
        <w:gridCol w:w="1945"/>
        <w:gridCol w:w="3055"/>
        <w:gridCol w:w="2487"/>
        <w:gridCol w:w="881"/>
        <w:gridCol w:w="2635"/>
        <w:gridCol w:w="902"/>
        <w:gridCol w:w="902"/>
        <w:gridCol w:w="902"/>
        <w:gridCol w:w="902"/>
        <w:gridCol w:w="864"/>
        <w:gridCol w:w="2576"/>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序号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项目编码</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项目名称</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服务产出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价格构成</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kern w:val="0"/>
                <w:sz w:val="22"/>
                <w:szCs w:val="22"/>
                <w:u w:val="none"/>
                <w:lang w:val="en-US" w:eastAsia="zh-CN" w:bidi="ar"/>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bookmarkStart w:id="1" w:name="_GoBack"/>
            <w:bookmarkEnd w:id="1"/>
            <w:r>
              <w:rPr>
                <w:rFonts w:hint="eastAsia" w:ascii="Times New Roman" w:hAnsi="Times New Roman" w:eastAsia="方正黑体_GBK" w:cs="方正黑体_GBK"/>
                <w:b w:val="0"/>
                <w:bCs w:val="0"/>
                <w:i w:val="0"/>
                <w:iCs w:val="0"/>
                <w:color w:val="000000"/>
                <w:kern w:val="0"/>
                <w:sz w:val="22"/>
                <w:szCs w:val="22"/>
                <w:u w:val="none"/>
                <w:lang w:val="en-US" w:eastAsia="zh-CN" w:bidi="ar"/>
              </w:rPr>
              <w:t>单位</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计价说明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三级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二级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一级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其他</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医保属性</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医保支付限制</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5" w:hRule="atLeast"/>
          <w:jc w:val="center"/>
        </w:trPr>
        <w:tc>
          <w:tcPr>
            <w:tcW w:w="11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3108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8.造血及淋巴系统</w:t>
            </w:r>
          </w:p>
        </w:tc>
        <w:tc>
          <w:tcPr>
            <w:tcW w:w="4083"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使用说明：</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1．本类项目以血液系统治疗为重点，按照治疗方式的服务产出设立价格项目。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根据《深化医疗服务价格改革试点方案》（医保发〔2021〕41号）“厘清价格项目与临床诊疗技术规范、医疗机构成本要素、不同应用场景加收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本类项目对此进行了合并。本类项目所定价格属于各级公立医疗机构政府指导价，为最高限价，下浮不限；同时，医疗机构、医务人员有关创新改良，可以采取“现有项目兼容”的方式简化处理，无需申报新增医疗服务价格项目，直接按照对应的项目执行即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5．“扩展项”，指同一项目下以不同方式提供或在不同场景应用时，只扩展价格项目适用范围、不额外加价的一类子项，子项的价格按主项目执行。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6．“基本物质资源消耗”，指原则上限于不应或不必要与医疗服务项目分割的易耗品，包括但不限于各类消毒用品、储存用品、清洁用品、个人防护用品、标签、垃圾处理用品、腕带、病历纸张、冲洗液、润滑剂、滑石粉、一般物理检查器具、治疗巾（单）、棉球、棉签、纱布（垫）、治疗护理盘（包）、普通注射器、护（尿）垫、中单、冲洗工具、备皮工具、灌注器、输液贴、辅助试剂及辅料、包裹单（袋）、软件的版权、开发、购买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7．考虑到免疫细胞相关治疗目前尚属于临床试验阶段，待国家卫生健康主管部门批准开展后增设项目。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8．本类项目中的计价单位“袋”指单一包装，不涉及具体毫升数。</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9．血浆置换、血浆吸附等相关项目按泌尿系统类立项指南项目收费。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10．本类项目中涉及“包括……”“……等”的，属于开放型表述，所指对象不仅局限于表述中列明的事项，也包括未列明的同类事项。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013108000010000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骨髓采集费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通过反复多次采集骨髓血用于提取干细胞。</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所定价格涵盖消毒、定位、穿刺、抽取骨髓血、抗凝、过滤、样本留取、封口、称重、处理用物等步骤所需的人力资源和基本物质资源消耗。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“次”指采集量≤400ml。采集量400ml以上的，每增加100ml加收15%。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1,620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限骨髓移植或造血干细胞移植。</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013108000020000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血细胞单采费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对血液成分（如单个核细胞、白细胞、悬浮红细胞、血小板等）进行单采分离，获取/去除目标成分。</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所定价格涵盖穿刺、抽血、血细胞成分去除或分离、回输、处理用物等步骤所需的人力资源、设备运转成本与基本物质资源消耗。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1.“次”指循环量≤2000ml。循环量2000ml以上的，每增加1000ml加收250元。</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2.血浆置换、血浆吸附等相关项目按泌尿系统类立项指南项目收费。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1175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1068.2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961.4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开展血液稀释疗法时，不予支付。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013108000030000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自体备血采集费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通过采集备血者一定量的血液，用于备血者本人后续治疗。</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所定价格涵盖审核、材料准备、消毒、穿刺、采血/收集血、抗凝、过滤、装袋、称重、保存、处理用物等步骤所需的人力资源和基本物质资源消耗。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203.5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175.8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166.5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4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013108000040000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干细胞成分去除费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对骨髓/外周血/脐带血等各种干细胞移植物中的特定成分（如红细胞、血浆或血浆中特定成分等）进行分离和去除。</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所定价格涵盖准备、沉降、分离、再次混匀、封存、标记、处理用物等步骤所需的人力资源、设备运转成本与基本物质资源消耗。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成分</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149.6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129.2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122.4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5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013108000050000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干细胞分离制备费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通过从骨髓、外周血、脐带血等来源中分离制备提取干细胞。</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所定价格涵盖准备、分离、提取干细胞、计数、装袋、封口、处理用物等步骤所需的人力资源、设备运转成本与基本物质资源消耗。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4840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4400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3960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6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013108000060000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干细胞冷冻费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将制备后的干细胞进行冷冻。</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所定价格涵盖计数、转移至冷冻载体、冷冻、处理用物等步骤所需的人力资源、设备运转成本与基本物质资源消耗。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475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7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013108000070000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干细胞冷冻续存费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将冷冻后的干细胞持续冻存。</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所定价格涵盖将冷冻后的干细胞持续冻存至解冻复苏前，或约定截止保存时间期间所需的人力资源、设备运转成本与基本物质资源消耗。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袋•日</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8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013108000080000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干细胞回输费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将干细胞重新输注到体内。</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所定价格涵盖准备、解冻、计数、输注、观察、处理用物等步骤所需的人力资源和基本物质资源消耗。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234.2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221.9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限骨髓移植或造血干细胞移植、间充质干细胞输注和供者淋巴细胞输注、CAR-T治疗。</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9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013108000090000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造血干细胞移植费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通过植入健康的造血干细胞，改善造血功能异常。</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所定价格涵盖移植方案制定、进入移植舱后相关准备、解冻、细胞回输/注射、观察、效果评估、处理用物等步骤所需的人力资源和基本物质资源消耗。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1.不可与“干细胞回输”同时收取。</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2.每例患者住院周期内仅可收取1次，不可按“袋”或“毫升数”收费。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2777.3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2638.4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2499.5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10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013108000100000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血液辐照费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通过放射线对供血进行辐照处理。</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所定价格涵盖审核、血制品准备、照射、处理用物等步骤所需的人力资源、设备运转成本与基本物质资源消耗。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1.“次”指“人·次”。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2.医疗机构使用由血库、血站提供的辐照血时，不再另收血液辐照费。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11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013108000110000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血液除滤费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通过装置除滤供血中的白细胞等成分。</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所定价格涵盖审核、血制品准备、滤除、处理用物等步骤所需的人力资源和基本物质资源消耗。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“次”指“人·次”</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12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013108000120000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术中自体血回输费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通过设备收集术中患者失血，处理后回输到患者体内。</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所定价格涵盖失血回收、处理、回输、处理用物等步骤所需的人力资源、设备运转成本与基本物质资源消耗。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13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013108000130000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经照射自体血回输费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通过光学技术照射等处理采集血，回输患者体内。</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所定价格涵盖消毒、采血、照射、输氧、回输、处理用物等步骤所需的人力资源、设备运转成本与基本物质资源消耗。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限传统治疗无效或不耐受、生物制剂治疗疗效欠佳或失效的银屑病、带状疱疹、慢性泛发性湿疹、泛发性神经皮炎患者及突发性耳聋、中风偏瘫、血液病患者报销。</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14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013108000140000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富血小板血浆制备费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通过采集外周血，浓缩提取富血小板血浆，用于后续治疗。</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所定价格涵盖消毒、采血、分离、富集、保存、处理用物等步骤所需的人力资源和基本物质资源消耗。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248.7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235.6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15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013108000150000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新生儿换血治疗费</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通过替换新鲜的血液，改善新生儿溶血或体内代谢产物异常等病症。</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所定价格涵盖消毒、穿刺、置管、反复抽取/推注、拔管、压迫止血、处理用物等步骤所需的人力资源和基本物质资源消耗。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Times New Roman" w:hAnsi="Times New Roman" w:eastAsia="宋体" w:cs="宋体"/>
                <w:i w:val="0"/>
                <w:iCs w:val="0"/>
                <w:color w:val="000000"/>
                <w:sz w:val="16"/>
                <w:szCs w:val="16"/>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3115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 精神心理</w:t>
            </w:r>
          </w:p>
        </w:tc>
        <w:tc>
          <w:tcPr>
            <w:tcW w:w="4083"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使用说明：</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本类项目以精神心理临床诊疗为重点，按照精神心理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本类项目对目前常用的精神心理类项目进行了合并。医疗服务的政府指导价为最高限价，下浮不限；同时，医疗机构、医务人员实施治疗过程中有关创新改良，采取“现有项目兼容”的方式简化处理，无需申报新增医疗服务价格项目，直接按照对应的整合项目执行即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本类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6.本类项目中涉及“包括……”“……等”的，属于开放型表述，所指对象不仅局限于表述中列明的事项，也包括未列明的同类事项。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7.本类项目所称的“心理治疗”指线下或运用线上实时视频交互手段实现的治疗，录音录像等不得按此收费。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8.本类项目所指的团体治疗人数不得超过15人。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16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012417000010000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眼动检查</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通过检测眼球运动轨迹等，检测患者的感知运动、持续注意、工作记忆等功能，辅助诊断精神疾病。</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所定价格涵盖设备准备、眼动轨迹记录、分析、得出结果等步骤所需的人力资源、设备成本和基本物质资源消耗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17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013115000010000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心理治疗（个体）</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由精神科医师、心理治疗师针对精神心理障碍患者的精神心理问题，采取合适的心理干预治疗技术，改善患者的心理疾病症状。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1.不与心理咨询同时收取。</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2.超过30分钟以上的，每增加10分钟加收33%。</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3.音乐治疗收取3元/半小时。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49.1</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18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013115000010001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心理治疗（个体）-每增加10分钟（加收）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由精神科医师、心理治疗师针对精神心理障碍患者的精神心理问题，采取合适的心理干预治疗技术，改善患者的心理疾病症状，在半小时基础上每增加10分钟。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16.2</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19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013115000020000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心理治疗（家庭）</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由精神科医师、心理治疗师针对精神心理障碍家庭的精神心理问题，采取合适的心理干预治疗技术，改善患者家庭的心理疾病症状。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不与心理咨询同时收取。超过1小时以上的，每增加20分钟加收33%。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316.8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259.2</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20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013115000020001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心理治疗（家庭）-每增加20分钟（加收）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由精神科医师、心理治疗师针对精神心理障碍家庭的精神心理问题，采取合适的心理干预治疗技术，改善患者家庭的心理疾病症状，在每小时基础上每增加20分钟。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104.5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85.5</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21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013115000030000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心理治疗（团体）</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由精神科医师、心理治疗师采取一对多或多对多的方式，针对精神心理障碍患者的精神心理问题，采取合适的心理干预治疗技术，改善患者的心理疾病症状。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不与心理咨询同时收取。超过1小时以上的，每增加20分钟加收33%。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22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013115000030001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心理治疗（团体）-每增加20分钟（加收）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由精神科医师、心理治疗师采取一对多或多对多的方式，针对精神心理障碍患者的精神心理问题，采取合适的心理干预治疗技术，改善患者的心理疾病症状，在每小时基础上每增加20分钟。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8.9</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23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013115000040000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心理咨询</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由心理咨询师、心理治疗师针对患者的精神心理问题，采取教育、指导、启发等适宜的咨询沟通手段，缓解患者心理问题。</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所定价格涵盖场所设置、方案制定、沟通咨询等步骤所需的人力资源和基本物质资源消耗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不与心理治疗同时收取。</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24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013115000050000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电休克治疗（ECT）</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通过电休克设备对患者进行休克治疗。</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所定价格涵盖躯体及精神状况评估、肢体及牙齿保护、电极安放、电刺激、生命体征及意识状态观察、治疗记录等步骤所需的人力资源、设备成本和基本物质资源消耗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实施多参数监护无抽搐电休克治疗时，可正常收取全身麻醉、麻醉监测、注射费等费用。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25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013115000060000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精神康复治疗（个人）</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通过一对一的形式，由专业的人员对相关精神障碍的患者进行康复训练，改善其精神状态。</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1.超过30分钟以上的，每增加10分钟加收33%，每日治疗超过60分钟按60分钟收费。</w:t>
            </w:r>
          </w:p>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2.常温冬眠治疗限每日计费1次（半小时）。</w:t>
            </w:r>
          </w:p>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3.脱瘾治疗治疗每日计费不超过10小时。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1.冲动行为干预治疗；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2.行为矫正治疗，住院报销且一天限报1次；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3.强迫障碍的厌恶治疗；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4.精神障碍康复期患者的精神障碍作业疗法训练，在精神卫生机构或康复医疗机构，由具有资格的精神卫生专业人员或在其指导下的社工操作，每年支付不超过90天，每天支付不超过一次。</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26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013115000060001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精神康复治疗（个人）-每增加10分钟（加收）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通过一对一的形式，由专业的人员对相关精神障碍的患者进行康复训练，改善其精神状态，在半小时基础上每增加10分钟。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1.冲动行为干预治疗；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2.行为矫正治疗，住院报销且一天限报1次；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3.强迫障碍的厌恶治疗；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4.精神障碍康复期患者的精神障碍作业疗法训练，在精神卫生机构或康复医疗机构，由具有资格的精神卫生专业人员或在其指导下的社工操作，每年支付不超过90天，每天支付不超过一次。</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27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013115000070000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精神康复治疗（家庭）</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通过一对多的形式，由专业的人员对相关精神障碍的患者家庭进行康复训练，改善其精神状态。</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超过30分钟以上的，每增加10分钟加收33%。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28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013115000070001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精神康复治疗（家庭）-每增加10分钟（加收）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通过一对多的形式，由专业的人员对相关精神障碍的患者家庭进行康复训练，改善其精神状态，在半小时基础上每增加10分钟。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宋体"/>
                <w:i w:val="0"/>
                <w:iCs w:val="0"/>
                <w:color w:val="000000"/>
                <w:sz w:val="16"/>
                <w:szCs w:val="16"/>
                <w:u w:val="none"/>
                <w:lang w:val="en-US" w:eastAsia="zh-CN"/>
              </w:rPr>
            </w:pPr>
            <w:r>
              <w:rPr>
                <w:rFonts w:hint="default" w:ascii="Arial" w:hAnsi="Arial" w:eastAsia="宋体" w:cs="Arial"/>
                <w:i w:val="0"/>
                <w:iCs w:val="0"/>
                <w:color w:val="000000"/>
                <w:kern w:val="0"/>
                <w:sz w:val="16"/>
                <w:szCs w:val="16"/>
                <w:u w:val="none"/>
                <w:lang w:val="en-US" w:eastAsia="zh-CN" w:bidi="ar"/>
              </w:rPr>
              <w:t xml:space="preserve">29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013115000080000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精神康复治疗（团体）</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通过一对多或多对多的形式，由专业的人员对相关精神障碍的患者进行康复训练，改善其精神功能状态。</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超过30分钟以上的，每增加10分钟加收33%。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30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013115000080001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精神康复治疗（团体）-每增加10分钟（加收）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通过一对多或多对多的形式，由专业的人员对相关精神障碍的患者进行康复训练，改善其精神功能状态，在半小时基础上每增加10分钟。</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 xml:space="preserve">31 </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013115000090000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精神科监护</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为处于重性精神病急性发作期的患者提供严密监护服务。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bl>
    <w:p>
      <w:pPr>
        <w:spacing w:line="600" w:lineRule="exact"/>
        <w:rPr>
          <w:rFonts w:hint="eastAsia" w:ascii="Times New Roman" w:hAnsi="Times New Roman" w:eastAsia="方正仿宋_GBK" w:cs="方正仿宋_GBK"/>
          <w:sz w:val="32"/>
          <w:szCs w:val="32"/>
          <w:lang w:bidi="ar"/>
        </w:rPr>
        <w:sectPr>
          <w:pgSz w:w="23811" w:h="16838" w:orient="landscape"/>
          <w:pgMar w:top="1962" w:right="1474" w:bottom="1848" w:left="1587" w:header="851" w:footer="992" w:gutter="0"/>
          <w:pgBorders>
            <w:top w:val="none" w:sz="0" w:space="0"/>
            <w:left w:val="none" w:sz="0" w:space="0"/>
            <w:bottom w:val="none" w:sz="0" w:space="0"/>
            <w:right w:val="none" w:sz="0" w:space="0"/>
          </w:pgBorders>
          <w:pgNumType w:fmt="numberInDash"/>
          <w:cols w:space="720" w:num="1"/>
          <w:docGrid w:type="lines" w:linePitch="321"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t xml:space="preserve">附件2       </w:t>
      </w:r>
      <w:r>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t xml:space="preserve">      </w:t>
      </w: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napToGrid w:val="0"/>
          <w:spacing w:val="-6"/>
          <w:sz w:val="44"/>
          <w:szCs w:val="44"/>
        </w:rPr>
      </w:pPr>
      <w:r>
        <w:rPr>
          <w:rFonts w:hint="eastAsia" w:ascii="方正小标宋_GBK" w:hAnsi="方正小标宋_GBK" w:eastAsia="方正小标宋_GBK" w:cs="方正小标宋_GBK"/>
          <w:i w:val="0"/>
          <w:iCs w:val="0"/>
          <w:caps w:val="0"/>
          <w:snapToGrid w:val="0"/>
          <w:color w:val="000000"/>
          <w:spacing w:val="-6"/>
          <w:kern w:val="0"/>
          <w:sz w:val="44"/>
          <w:szCs w:val="44"/>
          <w:shd w:val="clear" w:color="auto" w:fill="FFFFFF"/>
          <w:lang w:val="en-US" w:eastAsia="zh-CN" w:bidi="ar"/>
        </w:rPr>
        <w:t>停用血液系统、精神治疗类医疗服务价格项目表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1591"/>
        <w:gridCol w:w="3504"/>
        <w:gridCol w:w="3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项目编码</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3108</w:t>
            </w:r>
          </w:p>
        </w:tc>
        <w:tc>
          <w:tcPr>
            <w:tcW w:w="19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8.造血及淋巴系统</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采自体血及保存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外周血采血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保存血（一个月以上每月收取）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血细胞分离单采</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单采外周血干细胞（每增加1000ml循环量加收）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单采血小板、白细胞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003108000050001-310800005a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003108000060000-310800006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白细胞除滤（全血）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003108000060100-310800006.10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白细胞除滤（悬浮红细胞）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003108000060200-310800006.20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白细胞除滤（血小板过滤）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003108000060300-310800006.30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血液病自体血回收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术中自体血回收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003108000070100-310800007b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003108000090000-310800009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血液照射（加速器、60钴照射源或照射2000rad±）</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003108000090100-310800009.10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血液照射（自体）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003108000090200-310800009.20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血液照射（异体）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003108000090300-310800009.30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2"/>
                <w:szCs w:val="22"/>
                <w:highlight w:val="yellow"/>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25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血液稀释疗法（红细胞去除加收）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血液稀释疗法（去脂降粘血液净化加收）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003108000110000-310800011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经照射自体血回输治疗（光量子自体血回输（紫外光照射））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003108000110100-310800011.10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经照射自体血回输治疗（免疫三氧血回输治疗）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003108000110200-310800011.20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骨髓采集术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003108000120000-310800012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003108000130000-310800013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003108000140000-310800014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骨髓或外周血干细胞体外净化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003108000150000-310800015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骨髓或外周血干细胞冷冻保存（30天以上加收）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骨髓或外周血干细胞冷冻保存（程控降温仪）</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骨髓或外周血干细胞冷冻保存（超低温）</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骨髓或外周血干细胞冷冻保存（液氮）</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003108000160200-310800016.30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血细胞分化簇抗原（CD）34阳性造血干细胞分选</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003108000170000-310800017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003108000180000-310800018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003108000190000-310800019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配型不合异基因骨髓移植T细胞去除术（体外细胞培养法）</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003108000190100-310800019.10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配型不合异基因骨髓移植T细胞去除术（白细胞分离沉降）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003108000190200-310800019.20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003108000200000-310800020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003108000200100-310800020.10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003108000200200-310800020.20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003108000210000-310800021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003108000210100-310800021.10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003108000210200-310800021.20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自体骨髓或外周血干细胞支持治疗（即自体干细胞移植）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003108000220000-310800022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003108000230000-310800023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003108000230100-310800023.10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003108000230200-310800023.20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富血小板血浆（PRP）治疗术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503108000270000-310800029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医用臭氧自体血回输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新生儿换血术（双管同步换血加收）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58</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59</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眼动检查（老年性痴呆扩瞳分析加收）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常温冬眠治疗监测</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003115030020000-311503002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001201000090000-311503003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003115030040000-311503004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多参数监护无抽搐电休克治疗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003115030050000-311503005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暴露疗法和半暴露疗法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003115030060000-311503006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行为观察和治疗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003115030080000-311503008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冲动行为干预治疗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003115030090000-311503009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感觉统合治疗（多动症加收）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感觉统合治疗（孤独症加收）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感觉统合治疗（视听训练加收）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003115030160000-311503016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特殊工娱治疗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003115030170000-311503017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音乐治疗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003115030180000-311503018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暗示治疗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003115030190000-311503019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松驰治疗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003115030200000-311503020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漂浮治疗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003115030210000-311503021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心理咨询</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003115030230000-311503023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心理治疗（超过40分钟，每增加10分钟加收）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心理治疗（小组心理治疗）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麻醉分析</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003115030250000-311503025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催眠治疗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003115030260000-311503026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森田疗法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003115030270000-311503027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行为矫正治疗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003115030280000-311503028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厌恶治疗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003115030290000-311503029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脱瘾治疗（15天）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脱瘾治疗（21天）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脱瘾治疗（3个月）</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动力取向心理治疗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家庭心理治疗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精神科监护（儿童加收）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MBCZX002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精神障碍作业疗法训练</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003402000310000-MBCZX002</w:t>
            </w:r>
          </w:p>
        </w:tc>
      </w:tr>
    </w:tbl>
    <w:p>
      <w:pPr>
        <w:spacing w:line="600" w:lineRule="exact"/>
        <w:rPr>
          <w:rFonts w:hint="eastAsia" w:eastAsia="方正仿宋_GBK" w:cs="方正仿宋_GBK"/>
          <w:vanish/>
          <w:sz w:val="32"/>
          <w:szCs w:val="32"/>
          <w:lang w:bidi="ar"/>
        </w:rPr>
        <w:sectPr>
          <w:pgSz w:w="11905"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7"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56136C"/>
    <w:rsid w:val="0373439E"/>
    <w:rsid w:val="05E13F99"/>
    <w:rsid w:val="06107982"/>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5F4449C"/>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2026-02-13T06:10:26Z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45F3DFE5D87E40319AEBE217524244F6</vt:lpwstr>
  </property>
</Properties>
</file>