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Calibri" w:hAnsi="Calibri" w:eastAsia="方正小标宋_GBK" w:cs="Times New Roman"/>
          <w:sz w:val="40"/>
          <w:szCs w:val="40"/>
        </w:rPr>
      </w:pPr>
    </w:p>
    <w:p>
      <w:pPr>
        <w:spacing w:line="460" w:lineRule="exact"/>
        <w:jc w:val="center"/>
        <w:rPr>
          <w:rFonts w:ascii="Calibri" w:hAnsi="Calibri" w:eastAsia="方正小标宋_GBK" w:cs="Times New Roman"/>
          <w:sz w:val="40"/>
          <w:szCs w:val="40"/>
        </w:rPr>
      </w:pPr>
    </w:p>
    <w:p>
      <w:pPr>
        <w:spacing w:line="460" w:lineRule="exact"/>
        <w:jc w:val="center"/>
        <w:rPr>
          <w:rFonts w:ascii="Calibri" w:hAnsi="Calibri" w:eastAsia="方正小标宋_GBK" w:cs="Times New Roman"/>
          <w:sz w:val="40"/>
          <w:szCs w:val="40"/>
        </w:rPr>
      </w:pPr>
    </w:p>
    <w:p>
      <w:pPr>
        <w:spacing w:line="600" w:lineRule="exact"/>
        <w:jc w:val="center"/>
        <w:rPr>
          <w:rFonts w:ascii="Calibri" w:hAnsi="Calibri" w:eastAsia="方正小标宋_GBK" w:cs="Times New Roman"/>
          <w:w w:val="40"/>
          <w:sz w:val="40"/>
          <w:szCs w:val="40"/>
        </w:rPr>
      </w:pPr>
    </w:p>
    <w:p>
      <w:pPr>
        <w:spacing w:line="2000" w:lineRule="exact"/>
        <w:jc w:val="distribute"/>
        <w:rPr>
          <w:rFonts w:ascii="方正小标宋_GBK" w:hAnsi="Times New Roman" w:eastAsia="方正小标宋_GBK" w:cs="Times New Roman"/>
          <w:b/>
          <w:color w:val="FF0000"/>
          <w:spacing w:val="-60"/>
          <w:w w:val="50"/>
          <w:sz w:val="130"/>
          <w:szCs w:val="130"/>
        </w:rPr>
      </w:pPr>
      <w:r>
        <w:rPr>
          <w:rFonts w:hint="eastAsia" w:ascii="方正小标宋_GBK" w:hAnsi="Times New Roman" w:eastAsia="方正小标宋_GBK" w:cs="Times New Roman"/>
          <w:b/>
          <w:color w:val="FF0000"/>
          <w:spacing w:val="-60"/>
          <w:w w:val="50"/>
          <w:sz w:val="130"/>
          <w:szCs w:val="130"/>
        </w:rPr>
        <w:t>重庆市医疗保障局文件</w:t>
      </w:r>
    </w:p>
    <w:p>
      <w:pPr>
        <w:spacing w:line="600" w:lineRule="exact"/>
        <w:jc w:val="center"/>
        <w:rPr>
          <w:rFonts w:ascii="Calibri" w:hAnsi="Calibri" w:eastAsia="方正小标宋_GBK" w:cs="Times New Roman"/>
        </w:rPr>
      </w:pP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2026</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13</w:t>
      </w:r>
      <w:r>
        <w:rPr>
          <w:rFonts w:hint="eastAsia" w:ascii="Calibri" w:hAnsi="Calibri" w:eastAsia="方正仿宋_GBK" w:cs="方正仿宋_GBK"/>
          <w:sz w:val="32"/>
          <w:szCs w:val="32"/>
        </w:rPr>
        <w:t>号</w:t>
      </w:r>
    </w:p>
    <w:p>
      <w:pPr>
        <w:spacing w:line="80" w:lineRule="exact"/>
        <w:jc w:val="center"/>
        <w:rPr>
          <w:rFonts w:ascii="Calibri" w:hAnsi="Calibri" w:eastAsia="方正仿宋简体" w:cs="Times New Roman"/>
          <w:sz w:val="34"/>
          <w:szCs w:val="34"/>
        </w:rPr>
      </w:pPr>
    </w:p>
    <w:tbl>
      <w:tblPr>
        <w:tblStyle w:val="4"/>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164" w:type="dxa"/>
            <w:tcBorders>
              <w:top w:val="single" w:color="FF0000" w:sz="18" w:space="0"/>
            </w:tcBorders>
          </w:tcPr>
          <w:p>
            <w:pPr>
              <w:spacing w:line="560" w:lineRule="exact"/>
              <w:rPr>
                <w:rFonts w:ascii="Calibri" w:hAnsi="Calibri" w:eastAsia="方正小标宋_GBK" w:cs="Times New Roman"/>
              </w:rPr>
            </w:pPr>
          </w:p>
        </w:tc>
      </w:tr>
    </w:tbl>
    <w:p>
      <w:pPr>
        <w:widowControl/>
        <w:adjustRightInd w:val="0"/>
        <w:snapToGrid w:val="0"/>
        <w:spacing w:line="600" w:lineRule="exact"/>
        <w:jc w:val="center"/>
        <w:rPr>
          <w:rFonts w:ascii="Times New Roman" w:hAnsi="Times New Roman" w:eastAsia="方正小标宋_GBK" w:cs="Times New Roman"/>
          <w:snapToGrid w:val="0"/>
          <w:kern w:val="0"/>
          <w:sz w:val="44"/>
          <w:szCs w:val="44"/>
          <w:shd w:val="clear" w:color="auto" w:fill="FFFFFF"/>
        </w:rPr>
      </w:pPr>
      <w:bookmarkStart w:id="0" w:name="quanwen"/>
      <w:r>
        <w:rPr>
          <w:rFonts w:ascii="Times New Roman" w:hAnsi="Times New Roman" w:eastAsia="方正小标宋_GBK" w:cs="Times New Roman"/>
          <w:snapToGrid w:val="0"/>
          <w:kern w:val="0"/>
          <w:sz w:val="44"/>
          <w:szCs w:val="44"/>
          <w:shd w:val="clear" w:color="auto" w:fill="FFFFFF"/>
        </w:rPr>
        <w:t>重庆市医疗保障局关于</w:t>
      </w:r>
    </w:p>
    <w:p>
      <w:pPr>
        <w:widowControl/>
        <w:adjustRightInd w:val="0"/>
        <w:snapToGrid w:val="0"/>
        <w:spacing w:line="600" w:lineRule="exact"/>
        <w:jc w:val="center"/>
        <w:rPr>
          <w:rFonts w:hint="eastAsia" w:ascii="Times New Roman" w:hAnsi="Times New Roman" w:eastAsia="方正小标宋_GBK" w:cs="Times New Roman"/>
          <w:snapToGrid w:val="0"/>
          <w:kern w:val="0"/>
          <w:sz w:val="44"/>
          <w:szCs w:val="44"/>
          <w:shd w:val="clear" w:color="auto" w:fill="FFFFFF"/>
        </w:rPr>
      </w:pPr>
      <w:r>
        <w:rPr>
          <w:rFonts w:ascii="Times New Roman" w:hAnsi="Times New Roman" w:eastAsia="方正小标宋_GBK" w:cs="Times New Roman"/>
          <w:snapToGrid w:val="0"/>
          <w:kern w:val="0"/>
          <w:sz w:val="44"/>
          <w:szCs w:val="44"/>
          <w:shd w:val="clear" w:color="auto" w:fill="FFFFFF"/>
        </w:rPr>
        <w:t>规范</w:t>
      </w:r>
      <w:r>
        <w:rPr>
          <w:rFonts w:hint="eastAsia" w:ascii="Times New Roman" w:hAnsi="Times New Roman" w:eastAsia="方正小标宋_GBK" w:cs="Times New Roman"/>
          <w:snapToGrid w:val="0"/>
          <w:kern w:val="0"/>
          <w:sz w:val="44"/>
          <w:szCs w:val="44"/>
          <w:shd w:val="clear" w:color="auto" w:fill="FFFFFF"/>
        </w:rPr>
        <w:t>神经系统类</w:t>
      </w:r>
      <w:r>
        <w:rPr>
          <w:rFonts w:ascii="Times New Roman" w:hAnsi="Times New Roman" w:eastAsia="方正小标宋_GBK" w:cs="Times New Roman"/>
          <w:snapToGrid w:val="0"/>
          <w:kern w:val="0"/>
          <w:sz w:val="44"/>
          <w:szCs w:val="44"/>
          <w:shd w:val="clear" w:color="auto" w:fill="FFFFFF"/>
        </w:rPr>
        <w:t>医疗服务价格项目</w:t>
      </w:r>
      <w:r>
        <w:rPr>
          <w:rFonts w:hint="eastAsia" w:ascii="Times New Roman" w:hAnsi="Times New Roman" w:eastAsia="方正小标宋_GBK" w:cs="Times New Roman"/>
          <w:snapToGrid w:val="0"/>
          <w:kern w:val="0"/>
          <w:sz w:val="44"/>
          <w:szCs w:val="44"/>
          <w:shd w:val="clear" w:color="auto" w:fill="FFFFFF"/>
        </w:rPr>
        <w:t>及</w:t>
      </w:r>
    </w:p>
    <w:p>
      <w:pPr>
        <w:widowControl/>
        <w:adjustRightInd w:val="0"/>
        <w:snapToGrid w:val="0"/>
        <w:spacing w:line="600" w:lineRule="exact"/>
        <w:jc w:val="center"/>
        <w:rPr>
          <w:rFonts w:ascii="Times New Roman" w:hAnsi="Times New Roman" w:eastAsia="方正小标宋简体" w:cs="Times New Roman"/>
          <w:snapToGrid w:val="0"/>
          <w:kern w:val="0"/>
          <w:sz w:val="44"/>
          <w:szCs w:val="44"/>
          <w:shd w:val="clear" w:color="auto" w:fill="FFFFFF"/>
        </w:rPr>
      </w:pPr>
      <w:r>
        <w:rPr>
          <w:rFonts w:hint="eastAsia" w:ascii="Times New Roman" w:hAnsi="Times New Roman" w:eastAsia="方正小标宋_GBK" w:cs="Times New Roman"/>
          <w:snapToGrid w:val="0"/>
          <w:kern w:val="0"/>
          <w:sz w:val="44"/>
          <w:szCs w:val="44"/>
          <w:shd w:val="clear" w:color="auto" w:fill="FFFFFF"/>
        </w:rPr>
        <w:t>医保支付政策</w:t>
      </w:r>
      <w:r>
        <w:rPr>
          <w:rFonts w:ascii="Times New Roman" w:hAnsi="Times New Roman" w:eastAsia="方正小标宋_GBK" w:cs="Times New Roman"/>
          <w:snapToGrid w:val="0"/>
          <w:kern w:val="0"/>
          <w:sz w:val="44"/>
          <w:szCs w:val="44"/>
          <w:shd w:val="clear" w:color="auto" w:fill="FFFFFF"/>
        </w:rPr>
        <w:t>的通知</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ascii="Times New Roman" w:hAnsi="Times New Roman" w:eastAsia="方正仿宋_GBK" w:cs="Times New Roman"/>
          <w:snapToGrid w:val="0"/>
          <w:sz w:val="32"/>
          <w:szCs w:val="32"/>
        </w:rPr>
      </w:pPr>
      <w:r>
        <w:rPr>
          <w:rFonts w:ascii="Times New Roman" w:hAnsi="Times New Roman" w:eastAsia="方正仿宋_GBK" w:cs="Times New Roman"/>
          <w:snapToGrid w:val="0"/>
          <w:kern w:val="0"/>
          <w:sz w:val="32"/>
          <w:szCs w:val="32"/>
          <w:shd w:val="clear" w:color="auto" w:fill="FFFFFF"/>
          <w:lang w:bidi="ar"/>
        </w:rPr>
        <w:t>各区县（自治县）医保局，高新区政务服务和社会事务中心、万盛经开区人力社保局，各公立医疗机构</w:t>
      </w:r>
      <w:r>
        <w:rPr>
          <w:rFonts w:hint="eastAsia" w:ascii="Times New Roman" w:hAnsi="Times New Roman" w:eastAsia="方正仿宋_GBK" w:cs="Times New Roman"/>
          <w:snapToGrid w:val="0"/>
          <w:kern w:val="0"/>
          <w:sz w:val="32"/>
          <w:szCs w:val="32"/>
          <w:shd w:val="clear" w:color="auto" w:fill="FFFFFF"/>
          <w:lang w:bidi="ar"/>
        </w:rPr>
        <w:t>、</w:t>
      </w:r>
      <w:r>
        <w:rPr>
          <w:rFonts w:ascii="Times New Roman" w:hAnsi="Times New Roman" w:eastAsia="方正仿宋_GBK" w:cs="Times New Roman"/>
          <w:snapToGrid w:val="0"/>
          <w:kern w:val="0"/>
          <w:sz w:val="32"/>
          <w:szCs w:val="32"/>
          <w:shd w:val="clear" w:color="auto" w:fill="FFFFFF"/>
          <w:lang w:bidi="ar"/>
        </w:rPr>
        <w:t>有关单位：</w:t>
      </w:r>
    </w:p>
    <w:p>
      <w:pPr>
        <w:keepNext w:val="0"/>
        <w:keepLines w:val="0"/>
        <w:pageBreakBefore w:val="0"/>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为贯彻落实</w:t>
      </w:r>
      <w:r>
        <w:rPr>
          <w:rFonts w:hint="eastAsia" w:ascii="Times New Roman" w:hAnsi="Times New Roman" w:eastAsia="方正仿宋_GBK" w:cs="Times New Roman"/>
          <w:snapToGrid w:val="0"/>
          <w:kern w:val="0"/>
          <w:sz w:val="32"/>
          <w:szCs w:val="32"/>
          <w:shd w:val="clear" w:color="auto" w:fill="FFFFFF"/>
          <w:lang w:eastAsia="zh-CN" w:bidi="ar"/>
        </w:rPr>
        <w:t>国家医保局</w:t>
      </w:r>
      <w:r>
        <w:rPr>
          <w:rFonts w:ascii="Times New Roman" w:hAnsi="Times New Roman" w:eastAsia="方正仿宋_GBK" w:cs="Times New Roman"/>
          <w:snapToGrid w:val="0"/>
          <w:kern w:val="0"/>
          <w:sz w:val="32"/>
          <w:szCs w:val="32"/>
          <w:shd w:val="clear" w:color="auto" w:fill="FFFFFF"/>
          <w:lang w:bidi="ar"/>
        </w:rPr>
        <w:t>等8部门《关于印发〈深化医疗服务价格改革试点方案〉的通知》（医保发〔2021〕41号）</w:t>
      </w:r>
      <w:r>
        <w:rPr>
          <w:rFonts w:hint="eastAsia" w:ascii="Times New Roman" w:hAnsi="Times New Roman" w:eastAsia="方正仿宋_GBK" w:cs="Times New Roman"/>
          <w:snapToGrid w:val="0"/>
          <w:kern w:val="0"/>
          <w:sz w:val="32"/>
          <w:szCs w:val="32"/>
          <w:shd w:val="clear" w:color="auto" w:fill="FFFFFF"/>
          <w:lang w:eastAsia="zh-CN" w:bidi="ar"/>
        </w:rPr>
        <w:t>和国家医保局</w:t>
      </w:r>
      <w:r>
        <w:rPr>
          <w:rFonts w:ascii="Times New Roman" w:hAnsi="Times New Roman" w:eastAsia="方正仿宋_GBK" w:cs="Times New Roman"/>
          <w:snapToGrid w:val="0"/>
          <w:kern w:val="0"/>
          <w:sz w:val="32"/>
          <w:szCs w:val="32"/>
          <w:shd w:val="clear" w:color="auto" w:fill="FFFFFF"/>
          <w:lang w:bidi="ar"/>
        </w:rPr>
        <w:t>《</w:t>
      </w:r>
      <w:r>
        <w:rPr>
          <w:rFonts w:hint="eastAsia" w:ascii="Times New Roman" w:hAnsi="Times New Roman" w:eastAsia="方正仿宋_GBK" w:cs="Times New Roman"/>
          <w:snapToGrid w:val="0"/>
          <w:kern w:val="0"/>
          <w:sz w:val="32"/>
          <w:szCs w:val="32"/>
          <w:shd w:val="clear" w:color="auto" w:fill="FFFFFF"/>
          <w:lang w:bidi="ar"/>
        </w:rPr>
        <w:t>神经系统类</w:t>
      </w:r>
      <w:r>
        <w:rPr>
          <w:rFonts w:hint="eastAsia" w:ascii="Times New Roman" w:hAnsi="Times New Roman" w:eastAsia="方正仿宋_GBK" w:cs="Times New Roman"/>
          <w:snapToGrid w:val="0"/>
          <w:kern w:val="0"/>
          <w:sz w:val="32"/>
          <w:szCs w:val="32"/>
          <w:shd w:val="clear" w:color="auto" w:fill="FFFFFF"/>
          <w:lang w:eastAsia="zh-CN" w:bidi="ar"/>
        </w:rPr>
        <w:t>医疗服务</w:t>
      </w:r>
      <w:r>
        <w:rPr>
          <w:rFonts w:ascii="Times New Roman" w:hAnsi="Times New Roman" w:eastAsia="方正仿宋_GBK" w:cs="Times New Roman"/>
          <w:snapToGrid w:val="0"/>
          <w:kern w:val="0"/>
          <w:sz w:val="32"/>
          <w:szCs w:val="32"/>
          <w:shd w:val="clear" w:color="auto" w:fill="FFFFFF"/>
          <w:lang w:bidi="ar"/>
        </w:rPr>
        <w:t>价格项目立项指南（试行）》</w:t>
      </w:r>
      <w:r>
        <w:rPr>
          <w:rFonts w:hint="eastAsia" w:ascii="Times New Roman" w:hAnsi="Times New Roman" w:eastAsia="方正仿宋_GBK" w:cs="Times New Roman"/>
          <w:snapToGrid w:val="0"/>
          <w:kern w:val="0"/>
          <w:sz w:val="32"/>
          <w:szCs w:val="32"/>
          <w:shd w:val="clear" w:color="auto" w:fill="FFFFFF"/>
          <w:lang w:eastAsia="zh-CN" w:bidi="ar"/>
        </w:rPr>
        <w:t>（医保价采函〔2025〕78号）</w:t>
      </w:r>
      <w:r>
        <w:rPr>
          <w:rFonts w:ascii="Times New Roman" w:hAnsi="Times New Roman" w:eastAsia="方正仿宋_GBK" w:cs="Times New Roman"/>
          <w:snapToGrid w:val="0"/>
          <w:kern w:val="0"/>
          <w:sz w:val="32"/>
          <w:szCs w:val="32"/>
          <w:shd w:val="clear" w:color="auto" w:fill="FFFFFF"/>
          <w:lang w:bidi="ar"/>
        </w:rPr>
        <w:t>精神，构建内涵边界清晰、适应临床诊疗、便于评价监管的价格项目体系，经研究，决定规范我市</w:t>
      </w:r>
      <w:r>
        <w:rPr>
          <w:rFonts w:hint="eastAsia" w:ascii="Times New Roman" w:hAnsi="Times New Roman" w:eastAsia="方正仿宋_GBK" w:cs="Times New Roman"/>
          <w:snapToGrid w:val="0"/>
          <w:kern w:val="0"/>
          <w:sz w:val="32"/>
          <w:szCs w:val="32"/>
          <w:shd w:val="clear" w:color="auto" w:fill="FFFFFF"/>
          <w:lang w:bidi="ar"/>
        </w:rPr>
        <w:t>神经系统类</w:t>
      </w:r>
      <w:r>
        <w:rPr>
          <w:rFonts w:ascii="Times New Roman" w:hAnsi="Times New Roman" w:eastAsia="方正仿宋_GBK" w:cs="Times New Roman"/>
          <w:snapToGrid w:val="0"/>
          <w:kern w:val="0"/>
          <w:sz w:val="32"/>
          <w:szCs w:val="32"/>
          <w:shd w:val="clear" w:color="auto" w:fill="FFFFFF"/>
          <w:lang w:bidi="ar"/>
        </w:rPr>
        <w:t>医疗服务价格项目并将部分</w:t>
      </w:r>
      <w:r>
        <w:rPr>
          <w:rFonts w:hint="eastAsia" w:ascii="Times New Roman" w:hAnsi="Times New Roman" w:eastAsia="方正仿宋_GBK" w:cs="Times New Roman"/>
          <w:snapToGrid w:val="0"/>
          <w:kern w:val="0"/>
          <w:sz w:val="32"/>
          <w:szCs w:val="32"/>
          <w:shd w:val="clear" w:color="auto" w:fill="FFFFFF"/>
          <w:lang w:bidi="ar"/>
        </w:rPr>
        <w:t>神经系统类</w:t>
      </w:r>
      <w:r>
        <w:rPr>
          <w:rFonts w:ascii="Times New Roman" w:hAnsi="Times New Roman" w:eastAsia="方正仿宋_GBK" w:cs="Times New Roman"/>
          <w:snapToGrid w:val="0"/>
          <w:kern w:val="0"/>
          <w:sz w:val="32"/>
          <w:szCs w:val="32"/>
          <w:shd w:val="clear" w:color="auto" w:fill="FFFFFF"/>
          <w:lang w:bidi="ar"/>
        </w:rPr>
        <w:t>医疗服务项目纳入基本医疗保险基金支付范围，现就有关事项通知如下。</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黑体_GBK" w:cs="Times New Roman"/>
          <w:snapToGrid w:val="0"/>
          <w:kern w:val="0"/>
          <w:sz w:val="32"/>
          <w:szCs w:val="32"/>
          <w:shd w:val="clear" w:color="auto" w:fill="FFFFFF"/>
          <w:lang w:bidi="ar"/>
        </w:rPr>
      </w:pPr>
      <w:r>
        <w:rPr>
          <w:rFonts w:ascii="Times New Roman" w:hAnsi="Times New Roman" w:eastAsia="方正黑体_GBK" w:cs="Times New Roman"/>
          <w:snapToGrid w:val="0"/>
          <w:kern w:val="0"/>
          <w:sz w:val="32"/>
          <w:szCs w:val="32"/>
          <w:shd w:val="clear" w:color="auto" w:fill="FFFFFF"/>
          <w:lang w:bidi="ar"/>
        </w:rPr>
        <w:t>一、规范医疗服务价格项目</w:t>
      </w:r>
    </w:p>
    <w:p>
      <w:pPr>
        <w:keepNext w:val="0"/>
        <w:keepLines w:val="0"/>
        <w:pageBreakBefore w:val="0"/>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（一）规范整合我市神经系统类医疗服务价格项目，规范后神经系统类</w:t>
      </w:r>
      <w:r>
        <w:rPr>
          <w:rFonts w:ascii="Times New Roman" w:hAnsi="Times New Roman" w:eastAsia="方正仿宋_GBK" w:cs="Times New Roman"/>
          <w:snapToGrid w:val="0"/>
          <w:kern w:val="0"/>
          <w:sz w:val="32"/>
          <w:szCs w:val="32"/>
          <w:shd w:val="clear" w:color="auto" w:fill="FFFFFF"/>
          <w:lang w:bidi="ar"/>
        </w:rPr>
        <w:t>医疗服务价格项目</w:t>
      </w:r>
      <w:r>
        <w:rPr>
          <w:rFonts w:hint="eastAsia" w:ascii="Times New Roman" w:hAnsi="Times New Roman" w:eastAsia="方正仿宋_GBK" w:cs="Times New Roman"/>
          <w:snapToGrid w:val="0"/>
          <w:kern w:val="0"/>
          <w:sz w:val="32"/>
          <w:szCs w:val="32"/>
          <w:shd w:val="clear" w:color="auto" w:fill="FFFFFF"/>
          <w:lang w:bidi="ar"/>
        </w:rPr>
        <w:t>175</w:t>
      </w:r>
      <w:r>
        <w:rPr>
          <w:rFonts w:ascii="Times New Roman" w:hAnsi="Times New Roman" w:eastAsia="方正仿宋_GBK" w:cs="Times New Roman"/>
          <w:snapToGrid w:val="0"/>
          <w:kern w:val="0"/>
          <w:sz w:val="32"/>
          <w:szCs w:val="32"/>
          <w:shd w:val="clear" w:color="auto" w:fill="FFFFFF"/>
          <w:lang w:bidi="ar"/>
        </w:rPr>
        <w:t>项</w:t>
      </w:r>
      <w:r>
        <w:rPr>
          <w:rFonts w:hint="eastAsia" w:ascii="Times New Roman" w:hAnsi="Times New Roman" w:eastAsia="方正仿宋_GBK" w:cs="Times New Roman"/>
          <w:snapToGrid w:val="0"/>
          <w:kern w:val="0"/>
          <w:sz w:val="32"/>
          <w:szCs w:val="32"/>
          <w:shd w:val="clear" w:color="auto" w:fill="FFFFFF"/>
          <w:lang w:bidi="ar"/>
        </w:rPr>
        <w:t>（详见附件1）。</w:t>
      </w:r>
    </w:p>
    <w:p>
      <w:pPr>
        <w:keepNext w:val="0"/>
        <w:keepLines w:val="0"/>
        <w:pageBreakBefore w:val="0"/>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（二）</w:t>
      </w:r>
      <w:r>
        <w:rPr>
          <w:rFonts w:ascii="Times New Roman" w:hAnsi="Times New Roman" w:eastAsia="方正仿宋_GBK" w:cs="Times New Roman"/>
          <w:snapToGrid w:val="0"/>
          <w:kern w:val="0"/>
          <w:sz w:val="32"/>
          <w:szCs w:val="32"/>
          <w:shd w:val="clear" w:color="auto" w:fill="FFFFFF"/>
          <w:lang w:bidi="ar"/>
        </w:rPr>
        <w:t>停用</w:t>
      </w:r>
      <w:r>
        <w:rPr>
          <w:rFonts w:hint="eastAsia" w:ascii="Times New Roman" w:hAnsi="Times New Roman" w:eastAsia="方正仿宋_GBK" w:cs="Times New Roman"/>
          <w:snapToGrid w:val="0"/>
          <w:kern w:val="0"/>
          <w:sz w:val="32"/>
          <w:szCs w:val="32"/>
          <w:shd w:val="clear" w:color="auto" w:fill="FFFFFF"/>
          <w:lang w:bidi="ar"/>
        </w:rPr>
        <w:t>脑电图等医疗服务</w:t>
      </w:r>
      <w:r>
        <w:rPr>
          <w:rFonts w:ascii="Times New Roman" w:hAnsi="Times New Roman" w:eastAsia="方正仿宋_GBK" w:cs="Times New Roman"/>
          <w:snapToGrid w:val="0"/>
          <w:kern w:val="0"/>
          <w:sz w:val="32"/>
          <w:szCs w:val="32"/>
          <w:shd w:val="clear" w:color="auto" w:fill="FFFFFF"/>
          <w:lang w:bidi="ar"/>
        </w:rPr>
        <w:t>价格项目</w:t>
      </w:r>
      <w:r>
        <w:rPr>
          <w:rFonts w:hint="eastAsia" w:ascii="Times New Roman" w:hAnsi="Times New Roman" w:eastAsia="方正仿宋_GBK" w:cs="Times New Roman"/>
          <w:snapToGrid w:val="0"/>
          <w:kern w:val="0"/>
          <w:sz w:val="32"/>
          <w:szCs w:val="32"/>
          <w:shd w:val="clear" w:color="auto" w:fill="FFFFFF"/>
          <w:lang w:bidi="ar"/>
        </w:rPr>
        <w:t>（详见附件2）。</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黑体_GBK" w:cs="Times New Roman"/>
          <w:snapToGrid w:val="0"/>
          <w:kern w:val="0"/>
          <w:sz w:val="32"/>
          <w:szCs w:val="32"/>
          <w:shd w:val="clear" w:color="auto" w:fill="FFFFFF"/>
          <w:lang w:bidi="ar"/>
        </w:rPr>
      </w:pPr>
      <w:r>
        <w:rPr>
          <w:rFonts w:ascii="Times New Roman" w:hAnsi="Times New Roman" w:eastAsia="方正黑体_GBK" w:cs="Times New Roman"/>
          <w:snapToGrid w:val="0"/>
          <w:kern w:val="0"/>
          <w:sz w:val="32"/>
          <w:szCs w:val="32"/>
          <w:shd w:val="clear" w:color="auto" w:fill="FFFFFF"/>
          <w:lang w:bidi="ar"/>
        </w:rPr>
        <w:t>二、明确医保支付政策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rPr>
        <w:t>综合考虑临床需要、基金支付能力和价格等因素，兼顾医保政策延续性，</w:t>
      </w:r>
      <w:r>
        <w:rPr>
          <w:rFonts w:ascii="Times New Roman" w:hAnsi="Times New Roman" w:eastAsia="方正仿宋_GBK" w:cs="Times New Roman"/>
          <w:snapToGrid w:val="0"/>
          <w:kern w:val="0"/>
          <w:sz w:val="32"/>
          <w:szCs w:val="32"/>
          <w:shd w:val="clear" w:color="auto" w:fill="FFFFFF"/>
        </w:rPr>
        <w:t>明确</w:t>
      </w:r>
      <w:r>
        <w:rPr>
          <w:rFonts w:hint="eastAsia" w:ascii="Times New Roman" w:hAnsi="Times New Roman" w:eastAsia="方正仿宋_GBK" w:cs="Times New Roman"/>
          <w:snapToGrid w:val="0"/>
          <w:kern w:val="0"/>
          <w:sz w:val="32"/>
          <w:szCs w:val="32"/>
          <w:shd w:val="clear" w:color="auto" w:fill="FFFFFF"/>
          <w:lang w:bidi="ar"/>
        </w:rPr>
        <w:t>神经系统类</w:t>
      </w:r>
      <w:r>
        <w:rPr>
          <w:rFonts w:ascii="Times New Roman" w:hAnsi="Times New Roman" w:eastAsia="方正仿宋_GBK" w:cs="Times New Roman"/>
          <w:snapToGrid w:val="0"/>
          <w:kern w:val="0"/>
          <w:sz w:val="32"/>
          <w:szCs w:val="32"/>
          <w:shd w:val="clear" w:color="auto" w:fill="FFFFFF"/>
          <w:lang w:bidi="ar"/>
        </w:rPr>
        <w:t>医疗服务项目</w:t>
      </w:r>
      <w:r>
        <w:rPr>
          <w:rFonts w:ascii="Times New Roman" w:hAnsi="Times New Roman" w:eastAsia="方正仿宋_GBK" w:cs="Times New Roman"/>
          <w:snapToGrid w:val="0"/>
          <w:kern w:val="0"/>
          <w:sz w:val="32"/>
          <w:szCs w:val="32"/>
          <w:shd w:val="clear" w:color="auto" w:fill="FFFFFF"/>
        </w:rPr>
        <w:t>医保支付类别</w:t>
      </w:r>
      <w:r>
        <w:rPr>
          <w:rFonts w:hint="eastAsia" w:ascii="Times New Roman" w:hAnsi="Times New Roman" w:eastAsia="方正仿宋_GBK" w:cs="Times New Roman"/>
          <w:snapToGrid w:val="0"/>
          <w:kern w:val="0"/>
          <w:sz w:val="32"/>
          <w:szCs w:val="32"/>
          <w:shd w:val="clear" w:color="auto" w:fill="FFFFFF"/>
        </w:rPr>
        <w:t>（详见附件1）。</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黑体_GBK" w:cs="Times New Roman"/>
          <w:snapToGrid w:val="0"/>
          <w:kern w:val="0"/>
          <w:sz w:val="32"/>
          <w:szCs w:val="32"/>
          <w:shd w:val="clear" w:color="auto" w:fill="FFFFFF"/>
          <w:lang w:bidi="ar"/>
        </w:rPr>
      </w:pPr>
      <w:r>
        <w:rPr>
          <w:rFonts w:ascii="Times New Roman" w:hAnsi="Times New Roman" w:eastAsia="方正黑体_GBK" w:cs="Times New Roman"/>
          <w:snapToGrid w:val="0"/>
          <w:kern w:val="0"/>
          <w:sz w:val="32"/>
          <w:szCs w:val="32"/>
          <w:shd w:val="clear" w:color="auto" w:fill="FFFFFF"/>
          <w:lang w:bidi="ar"/>
        </w:rPr>
        <w:t>三、有关要求</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一）各公立医疗机构应按时做好医疗服务价格项目的相关调整工作，规范诊疗行为，不得扩大收费范围，凡在项目中包含的服务内容及耗材不得单独收费。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jc w:val="both"/>
        <w:textAlignment w:val="auto"/>
        <w:rPr>
          <w:rFonts w:ascii="Times New Roman" w:hAnsi="Times New Roman" w:eastAsia="方正仿宋_GBK" w:cs="Times New Roman"/>
          <w:snapToGrid w:val="0"/>
          <w:kern w:val="0"/>
          <w:sz w:val="31"/>
          <w:szCs w:val="31"/>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黑体_GBK" w:cs="Times New Roman"/>
          <w:snapToGrid w:val="0"/>
          <w:kern w:val="0"/>
          <w:sz w:val="32"/>
          <w:szCs w:val="32"/>
          <w:shd w:val="clear" w:color="auto" w:fill="FFFFFF"/>
          <w:lang w:bidi="ar"/>
        </w:rPr>
      </w:pPr>
      <w:r>
        <w:rPr>
          <w:rFonts w:ascii="Times New Roman" w:hAnsi="Times New Roman" w:eastAsia="方正黑体_GBK" w:cs="Times New Roman"/>
          <w:snapToGrid w:val="0"/>
          <w:kern w:val="0"/>
          <w:sz w:val="32"/>
          <w:szCs w:val="32"/>
          <w:shd w:val="clear" w:color="auto" w:fill="FFFFFF"/>
          <w:lang w:bidi="ar"/>
        </w:rPr>
        <w:t>四、本通知自2026年</w:t>
      </w:r>
      <w:r>
        <w:rPr>
          <w:rFonts w:hint="eastAsia" w:ascii="Times New Roman" w:hAnsi="Times New Roman" w:eastAsia="方正黑体_GBK" w:cs="Times New Roman"/>
          <w:snapToGrid w:val="0"/>
          <w:kern w:val="0"/>
          <w:sz w:val="32"/>
          <w:szCs w:val="32"/>
          <w:shd w:val="clear" w:color="auto" w:fill="FFFFFF"/>
          <w:lang w:val="en-US" w:eastAsia="zh-CN" w:bidi="ar"/>
        </w:rPr>
        <w:t>8</w:t>
      </w:r>
      <w:r>
        <w:rPr>
          <w:rFonts w:ascii="Times New Roman" w:hAnsi="Times New Roman" w:eastAsia="方正黑体_GBK" w:cs="Times New Roman"/>
          <w:snapToGrid w:val="0"/>
          <w:kern w:val="0"/>
          <w:sz w:val="32"/>
          <w:szCs w:val="32"/>
          <w:shd w:val="clear" w:color="auto" w:fill="FFFFFF"/>
          <w:lang w:bidi="ar"/>
        </w:rPr>
        <w:t>月</w:t>
      </w:r>
      <w:r>
        <w:rPr>
          <w:rFonts w:hint="eastAsia" w:ascii="Times New Roman" w:hAnsi="Times New Roman" w:eastAsia="方正黑体_GBK" w:cs="Times New Roman"/>
          <w:snapToGrid w:val="0"/>
          <w:kern w:val="0"/>
          <w:sz w:val="32"/>
          <w:szCs w:val="32"/>
          <w:shd w:val="clear" w:color="auto" w:fill="FFFFFF"/>
          <w:lang w:val="en-US" w:eastAsia="zh-CN" w:bidi="ar"/>
        </w:rPr>
        <w:t>10</w:t>
      </w:r>
      <w:r>
        <w:rPr>
          <w:rFonts w:ascii="Times New Roman" w:hAnsi="Times New Roman" w:eastAsia="方正黑体_GBK" w:cs="Times New Roman"/>
          <w:snapToGrid w:val="0"/>
          <w:kern w:val="0"/>
          <w:sz w:val="32"/>
          <w:szCs w:val="32"/>
          <w:shd w:val="clear" w:color="auto" w:fill="FFFFFF"/>
          <w:lang w:bidi="ar"/>
        </w:rPr>
        <w:t>日起执行</w:t>
      </w:r>
      <w:r>
        <w:rPr>
          <w:rFonts w:hint="eastAsia" w:ascii="Times New Roman" w:hAnsi="Times New Roman" w:eastAsia="方正黑体_GBK" w:cs="Times New Roman"/>
          <w:snapToGrid w:val="0"/>
          <w:kern w:val="0"/>
          <w:sz w:val="32"/>
          <w:szCs w:val="32"/>
          <w:shd w:val="clear" w:color="auto" w:fill="FFFFFF"/>
          <w:lang w:bidi="ar"/>
        </w:rPr>
        <w:t>。</w:t>
      </w:r>
      <w:r>
        <w:rPr>
          <w:rFonts w:ascii="Times New Roman" w:hAnsi="Times New Roman" w:eastAsia="方正黑体_GBK" w:cs="Times New Roman"/>
          <w:snapToGrid w:val="0"/>
          <w:kern w:val="0"/>
          <w:sz w:val="32"/>
          <w:szCs w:val="32"/>
          <w:shd w:val="clear" w:color="auto" w:fill="FFFFFF"/>
          <w:lang w:bidi="ar"/>
        </w:rPr>
        <w:t>原政策文件与本通知不符的，以本通知为准。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附件：1</w:t>
      </w:r>
      <w:r>
        <w:rPr>
          <w:rFonts w:hint="eastAsia" w:ascii="Times New Roman" w:hAnsi="Times New Roman" w:eastAsia="方正仿宋_GBK" w:cs="Times New Roman"/>
          <w:snapToGrid w:val="0"/>
          <w:kern w:val="0"/>
          <w:sz w:val="32"/>
          <w:szCs w:val="32"/>
          <w:shd w:val="clear" w:color="auto" w:fill="FFFFFF"/>
          <w:lang w:bidi="ar"/>
        </w:rPr>
        <w:t>．神经系统类</w:t>
      </w:r>
      <w:r>
        <w:rPr>
          <w:rFonts w:ascii="Times New Roman" w:hAnsi="Times New Roman" w:eastAsia="方正仿宋_GBK" w:cs="Times New Roman"/>
          <w:snapToGrid w:val="0"/>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napToGrid w:val="0"/>
        <w:spacing w:line="600" w:lineRule="exact"/>
        <w:ind w:firstLine="1600" w:firstLineChars="500"/>
        <w:jc w:val="both"/>
        <w:textAlignment w:val="auto"/>
        <w:rPr>
          <w:rFonts w:ascii="Times New Roman" w:hAnsi="Times New Roman" w:eastAsia="方正仿宋_GBK" w:cs="Times New Roman"/>
          <w:snapToGrid w:val="0"/>
          <w:kern w:val="0"/>
          <w:sz w:val="32"/>
          <w:szCs w:val="32"/>
          <w:shd w:val="clear" w:color="auto" w:fill="FFFFFF"/>
          <w:lang w:bidi="ar"/>
        </w:rPr>
      </w:pPr>
      <w:r>
        <w:rPr>
          <w:rFonts w:ascii="Times New Roman" w:hAnsi="Times New Roman" w:eastAsia="方正仿宋_GBK" w:cs="Times New Roman"/>
          <w:snapToGrid w:val="0"/>
          <w:kern w:val="0"/>
          <w:sz w:val="32"/>
          <w:szCs w:val="32"/>
          <w:shd w:val="clear" w:color="auto" w:fill="FFFFFF"/>
          <w:lang w:bidi="ar"/>
        </w:rPr>
        <w:t>2</w:t>
      </w:r>
      <w:r>
        <w:rPr>
          <w:rFonts w:hint="eastAsia" w:ascii="Times New Roman" w:hAnsi="Times New Roman" w:eastAsia="方正仿宋_GBK" w:cs="Times New Roman"/>
          <w:snapToGrid w:val="0"/>
          <w:kern w:val="0"/>
          <w:sz w:val="32"/>
          <w:szCs w:val="32"/>
          <w:shd w:val="clear" w:color="auto" w:fill="FFFFFF"/>
          <w:lang w:bidi="ar"/>
        </w:rPr>
        <w:t>．停用脑电图等</w:t>
      </w:r>
      <w:r>
        <w:rPr>
          <w:rFonts w:ascii="Times New Roman" w:hAnsi="Times New Roman" w:eastAsia="方正仿宋_GBK" w:cs="Times New Roman"/>
          <w:snapToGrid w:val="0"/>
          <w:kern w:val="0"/>
          <w:sz w:val="32"/>
          <w:szCs w:val="32"/>
          <w:shd w:val="clear" w:color="auto" w:fill="FFFFFF"/>
          <w:lang w:bidi="ar"/>
        </w:rPr>
        <w:t>医疗服务价格项目表</w:t>
      </w: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640" w:firstLineChars="200"/>
        <w:jc w:val="both"/>
        <w:textAlignment w:val="auto"/>
        <w:rPr>
          <w:rFonts w:hint="eastAsia" w:ascii="Times New Roman" w:hAnsi="Times New Roman" w:eastAsia="方正仿宋_GBK" w:cs="Times New Roman"/>
          <w:snapToGrid w:val="0"/>
          <w:kern w:val="0"/>
          <w:sz w:val="32"/>
          <w:szCs w:val="32"/>
          <w:shd w:val="clear" w:color="auto" w:fill="FFFFFF"/>
          <w:lang w:bidi="ar"/>
        </w:rPr>
      </w:pPr>
      <w:bookmarkStart w:id="3" w:name="_GoBack"/>
      <w:bookmarkEnd w:id="3"/>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640" w:firstLineChars="2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640" w:firstLineChars="200"/>
        <w:jc w:val="right"/>
        <w:textAlignment w:val="auto"/>
        <w:rPr>
          <w:rFonts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重庆市医疗保障局</w:t>
      </w:r>
    </w:p>
    <w:p>
      <w:pPr>
        <w:keepNext w:val="0"/>
        <w:keepLines w:val="0"/>
        <w:pageBreakBefore w:val="0"/>
        <w:widowControl/>
        <w:kinsoku/>
        <w:wordWrap/>
        <w:overflowPunct/>
        <w:topLinePunct w:val="0"/>
        <w:autoSpaceDE/>
        <w:autoSpaceDN/>
        <w:bidi w:val="0"/>
        <w:adjustRightInd w:val="0"/>
        <w:snapToGrid/>
        <w:spacing w:line="600" w:lineRule="exact"/>
        <w:ind w:right="840" w:rightChars="400" w:firstLine="640" w:firstLineChars="200"/>
        <w:jc w:val="right"/>
        <w:textAlignment w:val="auto"/>
        <w:rPr>
          <w:rFonts w:hint="eastAsia" w:ascii="Times New Roman" w:hAnsi="Times New Roman" w:eastAsia="方正仿宋_GBK" w:cs="Times New Roman"/>
          <w:snapToGrid w:val="0"/>
          <w:kern w:val="0"/>
          <w:sz w:val="32"/>
          <w:szCs w:val="32"/>
          <w:shd w:val="clear" w:color="auto" w:fill="FFFFFF"/>
          <w:lang w:bidi="ar"/>
        </w:rPr>
      </w:pPr>
      <w:r>
        <w:rPr>
          <w:rFonts w:hint="eastAsia" w:ascii="Times New Roman" w:hAnsi="Times New Roman" w:eastAsia="方正仿宋_GBK" w:cs="Times New Roman"/>
          <w:snapToGrid w:val="0"/>
          <w:kern w:val="0"/>
          <w:sz w:val="32"/>
          <w:szCs w:val="32"/>
          <w:shd w:val="clear" w:color="auto" w:fill="FFFFFF"/>
          <w:lang w:bidi="ar"/>
        </w:rPr>
        <w:t>               　　　　</w:t>
      </w:r>
      <w:r>
        <w:rPr>
          <w:rFonts w:hint="default" w:ascii="Times New Roman" w:hAnsi="Times New Roman" w:eastAsia="方正仿宋_GBK" w:cs="Times New Roman"/>
          <w:snapToGrid w:val="0"/>
          <w:kern w:val="0"/>
          <w:sz w:val="32"/>
          <w:szCs w:val="32"/>
          <w:shd w:val="clear" w:color="auto" w:fill="FFFFFF"/>
          <w:lang w:val="en-US" w:bidi="ar"/>
        </w:rPr>
        <w:t xml:space="preserve">  </w:t>
      </w:r>
      <w:r>
        <w:rPr>
          <w:rFonts w:hint="eastAsia" w:ascii="Times New Roman" w:hAnsi="Times New Roman" w:eastAsia="方正仿宋_GBK" w:cs="Times New Roman"/>
          <w:snapToGrid w:val="0"/>
          <w:kern w:val="0"/>
          <w:sz w:val="32"/>
          <w:szCs w:val="32"/>
          <w:shd w:val="clear" w:color="auto" w:fill="FFFFFF"/>
          <w:lang w:bidi="ar"/>
        </w:rPr>
        <w:t>　</w:t>
      </w:r>
      <w:r>
        <w:rPr>
          <w:rFonts w:hint="eastAsia" w:ascii="Times New Roman" w:hAnsi="Times New Roman" w:eastAsia="方正仿宋_GBK" w:cs="Times New Roman"/>
          <w:snapToGrid w:val="0"/>
          <w:kern w:val="0"/>
          <w:sz w:val="32"/>
          <w:szCs w:val="32"/>
          <w:shd w:val="clear" w:color="auto" w:fill="FFFFFF"/>
          <w:lang w:val="en-US" w:eastAsia="zh-CN" w:bidi="ar"/>
        </w:rPr>
        <w:t xml:space="preserve">  </w:t>
      </w:r>
      <w:r>
        <w:rPr>
          <w:rFonts w:hint="default" w:ascii="Times New Roman" w:hAnsi="Times New Roman" w:eastAsia="方正仿宋_GBK" w:cs="Times New Roman"/>
          <w:snapToGrid w:val="0"/>
          <w:kern w:val="0"/>
          <w:sz w:val="32"/>
          <w:szCs w:val="32"/>
          <w:shd w:val="clear" w:color="auto" w:fill="FFFFFF"/>
          <w:lang w:val="en-US" w:bidi="ar"/>
        </w:rPr>
        <w:t xml:space="preserve"> </w:t>
      </w:r>
      <w:r>
        <w:rPr>
          <w:rFonts w:hint="eastAsia" w:ascii="Times New Roman" w:hAnsi="Times New Roman" w:eastAsia="方正仿宋_GBK" w:cs="Times New Roman"/>
          <w:snapToGrid w:val="0"/>
          <w:kern w:val="0"/>
          <w:sz w:val="32"/>
          <w:szCs w:val="32"/>
          <w:shd w:val="clear" w:color="auto" w:fill="FFFFFF"/>
          <w:lang w:bidi="ar"/>
        </w:rPr>
        <w:t>2026年</w:t>
      </w:r>
      <w:r>
        <w:rPr>
          <w:rFonts w:hint="eastAsia" w:ascii="Times New Roman" w:hAnsi="Times New Roman" w:eastAsia="方正仿宋_GBK" w:cs="Times New Roman"/>
          <w:snapToGrid w:val="0"/>
          <w:kern w:val="0"/>
          <w:sz w:val="32"/>
          <w:szCs w:val="32"/>
          <w:shd w:val="clear" w:color="auto" w:fill="FFFFFF"/>
          <w:lang w:val="en-US" w:eastAsia="zh-CN" w:bidi="ar"/>
        </w:rPr>
        <w:t>6</w:t>
      </w:r>
      <w:r>
        <w:rPr>
          <w:rFonts w:hint="eastAsia" w:ascii="Times New Roman" w:hAnsi="Times New Roman" w:eastAsia="方正仿宋_GBK" w:cs="Times New Roman"/>
          <w:snapToGrid w:val="0"/>
          <w:kern w:val="0"/>
          <w:sz w:val="32"/>
          <w:szCs w:val="32"/>
          <w:shd w:val="clear" w:color="auto" w:fill="FFFFFF"/>
          <w:lang w:bidi="ar"/>
        </w:rPr>
        <w:t>月</w:t>
      </w:r>
      <w:r>
        <w:rPr>
          <w:rFonts w:hint="eastAsia" w:ascii="Times New Roman" w:hAnsi="Times New Roman" w:eastAsia="方正仿宋_GBK" w:cs="Times New Roman"/>
          <w:snapToGrid w:val="0"/>
          <w:kern w:val="0"/>
          <w:sz w:val="32"/>
          <w:szCs w:val="32"/>
          <w:shd w:val="clear" w:color="auto" w:fill="FFFFFF"/>
          <w:lang w:val="en-US" w:eastAsia="zh-CN" w:bidi="ar"/>
        </w:rPr>
        <w:t>22</w:t>
      </w:r>
      <w:r>
        <w:rPr>
          <w:rFonts w:hint="eastAsia" w:ascii="Times New Roman" w:hAnsi="Times New Roman" w:eastAsia="方正仿宋_GBK" w:cs="Times New Roman"/>
          <w:snapToGrid w:val="0"/>
          <w:kern w:val="0"/>
          <w:sz w:val="32"/>
          <w:szCs w:val="32"/>
          <w:shd w:val="clear" w:color="auto" w:fill="FFFFFF"/>
          <w:lang w:bidi="ar"/>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_GBK" w:hAnsi="Calibri" w:eastAsia="方正仿宋_GBK" w:cs="Times New Roman"/>
          <w:sz w:val="32"/>
          <w:szCs w:val="20"/>
        </w:rPr>
      </w:pPr>
      <w:r>
        <w:rPr>
          <w:rFonts w:hint="eastAsia" w:ascii="方正仿宋_GBK" w:hAnsi="Calibri" w:eastAsia="方正仿宋_GBK" w:cs="Times New Roman"/>
          <w:sz w:val="32"/>
          <w:szCs w:val="20"/>
        </w:rPr>
        <w:t>（</w:t>
      </w:r>
      <w:bookmarkStart w:id="1" w:name="公开发送"/>
      <w:r>
        <w:rPr>
          <w:rFonts w:hint="eastAsia" w:ascii="方正仿宋_GBK" w:hAnsi="Calibri" w:eastAsia="方正仿宋_GBK" w:cs="Times New Roman"/>
          <w:sz w:val="32"/>
          <w:szCs w:val="20"/>
          <w:lang w:val="en-US" w:eastAsia="zh-CN"/>
        </w:rPr>
        <w:t>此件</w:t>
      </w:r>
      <w:bookmarkEnd w:id="1"/>
      <w:r>
        <w:rPr>
          <w:rFonts w:hint="eastAsia" w:ascii="方正仿宋_GBK" w:hAnsi="Calibri" w:eastAsia="方正仿宋_GBK" w:cs="Times New Roman"/>
          <w:sz w:val="32"/>
          <w:szCs w:val="20"/>
          <w:lang w:eastAsia="zh-CN"/>
        </w:rPr>
        <w:t>公开发布</w:t>
      </w:r>
      <w:r>
        <w:rPr>
          <w:rFonts w:hint="eastAsia" w:ascii="方正仿宋_GBK" w:hAnsi="Calibri" w:eastAsia="方正仿宋_GBK" w:cs="Times New Roman"/>
          <w:sz w:val="32"/>
          <w:szCs w:val="20"/>
        </w:rPr>
        <w:t>）</w:t>
      </w:r>
    </w:p>
    <w:p>
      <w:pPr>
        <w:keepNext w:val="0"/>
        <w:keepLines w:val="0"/>
        <w:pageBreakBefore w:val="0"/>
        <w:widowControl/>
        <w:kinsoku/>
        <w:wordWrap/>
        <w:overflowPunct/>
        <w:topLinePunct w:val="0"/>
        <w:autoSpaceDE/>
        <w:autoSpaceDN/>
        <w:bidi w:val="0"/>
        <w:adjustRightInd w:val="0"/>
        <w:snapToGrid/>
        <w:spacing w:line="60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60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pPr>
    </w:p>
    <w:p>
      <w:pPr>
        <w:keepNext w:val="0"/>
        <w:keepLines w:val="0"/>
        <w:pageBreakBefore w:val="0"/>
        <w:widowControl/>
        <w:kinsoku/>
        <w:wordWrap/>
        <w:overflowPunct/>
        <w:topLinePunct w:val="0"/>
        <w:autoSpaceDE/>
        <w:autoSpaceDN/>
        <w:bidi w:val="0"/>
        <w:adjustRightInd w:val="0"/>
        <w:snapToGrid/>
        <w:spacing w:line="560" w:lineRule="exact"/>
        <w:ind w:right="840" w:rightChars="400"/>
        <w:jc w:val="both"/>
        <w:textAlignment w:val="auto"/>
        <w:rPr>
          <w:rFonts w:hint="eastAsia" w:ascii="Times New Roman" w:hAnsi="Times New Roman" w:eastAsia="方正仿宋_GBK" w:cs="Times New Roman"/>
          <w:snapToGrid w:val="0"/>
          <w:kern w:val="0"/>
          <w:sz w:val="32"/>
          <w:szCs w:val="32"/>
          <w:shd w:val="clear" w:color="auto" w:fill="FFFFFF"/>
          <w:lang w:bidi="ar"/>
        </w:rPr>
        <w:sectPr>
          <w:footerReference r:id="rId3" w:type="default"/>
          <w:pgSz w:w="11905" w:h="16838"/>
          <w:pgMar w:top="2098" w:right="1474" w:bottom="1984" w:left="1587" w:header="1701" w:footer="1587" w:gutter="0"/>
          <w:pgBorders>
            <w:top w:val="none" w:sz="0" w:space="0"/>
            <w:left w:val="none" w:sz="0" w:space="0"/>
            <w:bottom w:val="none" w:sz="0" w:space="0"/>
            <w:right w:val="none" w:sz="0" w:space="0"/>
          </w:pgBorders>
          <w:pgNumType w:fmt="decimal"/>
          <w:cols w:space="0" w:num="1"/>
          <w:rtlGutter w:val="0"/>
          <w:docGrid w:type="lines" w:linePitch="331" w:charSpace="0"/>
        </w:sectPr>
      </w:pPr>
    </w:p>
    <w:p>
      <w:pPr>
        <w:spacing w:line="460" w:lineRule="exact"/>
        <w:rPr>
          <w:rFonts w:ascii="Times New Roman" w:hAnsi="Times New Roman" w:eastAsia="方正仿宋_GBK" w:cs="Times New Roman"/>
          <w:vanish/>
          <w:color w:val="000000"/>
          <w:kern w:val="0"/>
          <w:sz w:val="32"/>
          <w:szCs w:val="32"/>
          <w:shd w:val="clear" w:color="auto" w:fill="FFFFFF"/>
          <w:lang w:bidi="ar"/>
        </w:rPr>
      </w:pPr>
      <w:r>
        <w:rPr>
          <w:rFonts w:ascii="Times New Roman" w:hAnsi="Times New Roman" w:eastAsia="方正仿宋_GBK" w:cs="Times New Roman"/>
          <w:vanish/>
          <w:color w:val="000000"/>
          <w:kern w:val="0"/>
          <w:sz w:val="32"/>
          <w:szCs w:val="32"/>
          <w:shd w:val="clear" w:color="auto" w:fill="FFFFFF"/>
          <w:lang w:bidi="ar"/>
        </w:rPr>
        <w:t>　</w:t>
      </w:r>
    </w:p>
    <w:p>
      <w:pPr>
        <w:spacing w:line="460" w:lineRule="exact"/>
        <w:rPr>
          <w:rFonts w:ascii="Times New Roman" w:hAnsi="Times New Roman" w:eastAsia="方正仿宋_GBK" w:cs="Times New Roman"/>
          <w:vanish/>
          <w:color w:val="000000"/>
          <w:kern w:val="0"/>
          <w:sz w:val="32"/>
          <w:szCs w:val="32"/>
          <w:shd w:val="clear" w:color="auto" w:fill="FFFFFF"/>
          <w:lang w:bidi="ar"/>
        </w:rPr>
      </w:pPr>
    </w:p>
    <w:p>
      <w:pPr>
        <w:spacing w:line="460" w:lineRule="exact"/>
        <w:rPr>
          <w:rFonts w:ascii="方正仿宋_GB2312" w:hAnsi="方正仿宋_GB2312" w:eastAsia="方正仿宋_GB2312" w:cs="方正仿宋_GB2312"/>
          <w:vanish/>
          <w:color w:val="000000"/>
        </w:rPr>
        <w:sectPr>
          <w:footerReference r:id="rId4" w:type="default"/>
          <w:pgSz w:w="23811" w:h="16838" w:orient="landscape"/>
          <w:pgMar w:top="1587" w:right="2098" w:bottom="1474" w:left="1984" w:header="1701" w:footer="1587" w:gutter="0"/>
          <w:pgBorders>
            <w:top w:val="none" w:sz="0" w:space="0"/>
            <w:left w:val="none" w:sz="0" w:space="0"/>
            <w:bottom w:val="none" w:sz="0" w:space="0"/>
            <w:right w:val="none" w:sz="0" w:space="0"/>
          </w:pgBorders>
          <w:pgNumType w:fmt="decimal"/>
          <w:cols w:space="0" w:num="1"/>
          <w:rtlGutter w:val="0"/>
          <w:docGrid w:type="lines" w:linePitch="336" w:charSpace="0"/>
        </w:sect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黑体_GBK" w:cs="Times New Roman"/>
          <w:snapToGrid w:val="0"/>
          <w:kern w:val="0"/>
          <w:sz w:val="36"/>
          <w:szCs w:val="36"/>
          <w:shd w:val="clear" w:color="auto" w:fill="FFFFFF"/>
          <w:lang w:bidi="ar"/>
        </w:rPr>
      </w:pPr>
      <w:r>
        <w:rPr>
          <w:rFonts w:hint="eastAsia" w:ascii="Times New Roman" w:hAnsi="Times New Roman" w:eastAsia="方正黑体_GBK" w:cs="Times New Roman"/>
          <w:snapToGrid w:val="0"/>
          <w:kern w:val="0"/>
          <w:sz w:val="36"/>
          <w:szCs w:val="36"/>
          <w:shd w:val="clear" w:color="auto" w:fill="FFFFFF"/>
          <w:lang w:bidi="ar"/>
        </w:rPr>
        <w:t>附件1</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sz w:val="52"/>
          <w:szCs w:val="52"/>
        </w:rPr>
      </w:pPr>
      <w:r>
        <w:rPr>
          <w:rFonts w:hint="eastAsia" w:ascii="方正小标宋_GBK" w:hAnsi="方正小标宋_GBK" w:eastAsia="方正小标宋_GBK" w:cs="方正小标宋_GBK"/>
          <w:color w:val="000000"/>
          <w:sz w:val="52"/>
          <w:szCs w:val="52"/>
        </w:rPr>
        <w:t>神经系统类医疗服务价格项目表</w:t>
      </w:r>
    </w:p>
    <w:tbl>
      <w:tblPr>
        <w:tblStyle w:val="4"/>
        <w:tblW w:w="5025" w:type="pct"/>
        <w:jc w:val="center"/>
        <w:shd w:val="clear" w:color="auto" w:fill="FFFFFF"/>
        <w:tblLayout w:type="autofit"/>
        <w:tblCellMar>
          <w:top w:w="0" w:type="dxa"/>
          <w:left w:w="108" w:type="dxa"/>
          <w:bottom w:w="0" w:type="dxa"/>
          <w:right w:w="108" w:type="dxa"/>
        </w:tblCellMar>
      </w:tblPr>
      <w:tblGrid>
        <w:gridCol w:w="614"/>
        <w:gridCol w:w="2021"/>
        <w:gridCol w:w="1183"/>
        <w:gridCol w:w="1889"/>
        <w:gridCol w:w="2968"/>
        <w:gridCol w:w="602"/>
        <w:gridCol w:w="2763"/>
        <w:gridCol w:w="1243"/>
        <w:gridCol w:w="1243"/>
        <w:gridCol w:w="1163"/>
        <w:gridCol w:w="1989"/>
        <w:gridCol w:w="690"/>
        <w:gridCol w:w="898"/>
        <w:gridCol w:w="779"/>
      </w:tblGrid>
      <w:tr>
        <w:tblPrEx>
          <w:shd w:val="clear" w:color="auto" w:fill="FFFFFF"/>
          <w:tblCellMar>
            <w:top w:w="0" w:type="dxa"/>
            <w:left w:w="108" w:type="dxa"/>
            <w:bottom w:w="0" w:type="dxa"/>
            <w:right w:w="108" w:type="dxa"/>
          </w:tblCellMar>
        </w:tblPrEx>
        <w:trPr>
          <w:cantSplit/>
          <w:trHeight w:val="23" w:hRule="atLeast"/>
          <w:tblHeader/>
          <w:jc w:val="center"/>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序号</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项目编码</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项目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名称</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服务产出</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价格构成</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计价单位</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计价说明</w:t>
            </w:r>
          </w:p>
        </w:tc>
        <w:tc>
          <w:tcPr>
            <w:tcW w:w="140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政府指导价</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医保</w:t>
            </w:r>
          </w:p>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属性</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医保支付限制</w:t>
            </w: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归集口径</w:t>
            </w:r>
          </w:p>
        </w:tc>
      </w:tr>
      <w:tr>
        <w:tblPrEx>
          <w:shd w:val="clear" w:color="auto" w:fill="FFFFFF"/>
          <w:tblCellMar>
            <w:top w:w="0" w:type="dxa"/>
            <w:left w:w="108" w:type="dxa"/>
            <w:bottom w:w="0" w:type="dxa"/>
            <w:right w:w="108" w:type="dxa"/>
          </w:tblCellMar>
        </w:tblPrEx>
        <w:trPr>
          <w:cantSplit/>
          <w:trHeight w:val="23" w:hRule="atLeast"/>
          <w:tblHeader/>
          <w:jc w:val="center"/>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color w:val="auto"/>
                <w:sz w:val="22"/>
                <w:szCs w:val="22"/>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三级医院</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二级医院</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一级医院</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宋体" w:cs="宋体"/>
                <w:b w:val="0"/>
                <w:bCs/>
                <w:color w:val="auto"/>
                <w:kern w:val="0"/>
                <w:sz w:val="20"/>
                <w:szCs w:val="20"/>
                <w:lang w:bidi="ar"/>
              </w:rPr>
            </w:pPr>
            <w:r>
              <w:rPr>
                <w:rFonts w:hint="eastAsia" w:ascii="Times New Roman" w:hAnsi="Times New Roman" w:eastAsia="宋体" w:cs="宋体"/>
                <w:b w:val="0"/>
                <w:bCs/>
                <w:color w:val="auto"/>
                <w:kern w:val="0"/>
                <w:sz w:val="20"/>
                <w:szCs w:val="20"/>
                <w:lang w:bidi="ar"/>
              </w:rPr>
              <w:t>其他医疗机构</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b w:val="0"/>
                <w:bCs/>
                <w:color w:val="auto"/>
                <w:sz w:val="20"/>
                <w:szCs w:val="20"/>
              </w:rPr>
            </w:pPr>
            <w:r>
              <w:rPr>
                <w:rFonts w:hint="eastAsia" w:ascii="Times New Roman" w:hAnsi="Times New Roman" w:eastAsia="宋体" w:cs="宋体"/>
                <w:b w:val="0"/>
                <w:bCs/>
                <w:color w:val="auto"/>
                <w:kern w:val="0"/>
                <w:sz w:val="20"/>
                <w:szCs w:val="20"/>
                <w:lang w:bidi="ar"/>
              </w:rPr>
              <w:t>（含基层医疗机构）</w:t>
            </w: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b/>
                <w:color w:val="auto"/>
                <w:sz w:val="22"/>
                <w:szCs w:val="22"/>
              </w:rPr>
            </w:pPr>
          </w:p>
        </w:tc>
      </w:tr>
      <w:tr>
        <w:tblPrEx>
          <w:shd w:val="clear" w:color="auto" w:fill="FFFFFF"/>
          <w:tblCellMar>
            <w:top w:w="0" w:type="dxa"/>
            <w:left w:w="108" w:type="dxa"/>
            <w:bottom w:w="0" w:type="dxa"/>
            <w:right w:w="108" w:type="dxa"/>
          </w:tblCellMar>
        </w:tblPrEx>
        <w:trPr>
          <w:cantSplit/>
          <w:trHeight w:val="23" w:hRule="atLeast"/>
          <w:jc w:val="center"/>
        </w:trPr>
        <w:tc>
          <w:tcPr>
            <w:tcW w:w="4408"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left"/>
              <w:rPr>
                <w:rFonts w:ascii="Times New Roman" w:hAnsi="Times New Roman" w:eastAsia="宋体" w:cs="宋体"/>
                <w:color w:val="auto"/>
                <w:sz w:val="16"/>
                <w:szCs w:val="16"/>
              </w:rPr>
            </w:pPr>
            <w:r>
              <w:rPr>
                <w:rFonts w:hint="eastAsia" w:ascii="Times New Roman" w:hAnsi="Times New Roman" w:eastAsia="宋体" w:cs="宋体"/>
                <w:color w:val="auto"/>
                <w:kern w:val="0"/>
                <w:sz w:val="18"/>
                <w:szCs w:val="18"/>
                <w:lang w:bidi="ar"/>
              </w:rPr>
              <w:t>1.本类项目以神经系统类为重点，按照神经系统医疗服务产出设立医疗服务价格项目。</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2.根据《深化医疗服务价格改革试点方案》（医保发〔2021〕41号）</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要求，各类神经系统类项目在操作层面存在差异，但在价格项目和定价水平层面具备合并同类项的条件，立项指南对目前常用的神经系统类项目进行了合并。医疗服务的政府指导价为最高限价，下浮不限；同时，医疗机构、医务人员实施治疗过程中有关创新改良，采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现有项目兼容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的方式简化处理，无需申报新增医疗服务价格项目，经向本地区医保部门备案后可按照对应的项目执行。</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价格构成</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项目价格应涵盖的各类资源消耗，用于确定计价单元的边界，是医疗保障部门制定调整项目价格考虑的测算因子，不应作为临床技术标准理解，不是实际操作方式、路径、步骤、程序的强制性要求，价格构成中包含但临床实践中非必要、未发生的，无需强制要求公立医疗机构减计费用。所列</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设备投入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包括但不限于操作设备、器具及固定资产投入。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4.本类项目所称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加收项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5.本类项目所称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扩展项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6.本类项目所称的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基本物质资源物耗</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的其他耗材，按照实际采购价格零差率销售。</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7.本类项目价格构成中所称的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穿刺</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为主项操作涉及的必要穿刺技术，价格构成中的穿刺操作不可收取相关费用；独立穿刺项目可按相应治疗价格项目收取。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8.本类项目中涉及</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包括……</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……等</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的，属于开放型表述，所指对象不仅局限于表述中列明的事项，也包括未列明的同类事项。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9.本类项目中其他学科开展相应项目时，可据实收费。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10.本类项目中的各类内镜下手术项目的价格构成，已包含手术涉及的各类内镜使用成本。医疗机构在开展相关操作时，开放手术与经内镜手术执行相同的价格标准，内镜辅助操作不再另行收费。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11.本类项目中手术项目若需病理取样，价格构成中已包含标本的留取和送检，不得按病理类医疗服务价格项目立项指南所列活检取材费计费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12.本类项目中手术类项目服务对象为儿童时，统一落实儿童加收政策（以下简称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儿童加收</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），儿童加收比例为主项目价格的20%。本类项目所称的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儿童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，指6周岁及以下，周岁的计算方法以法律的相关规定为准。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13.同台设备可完成多项检查项目时，床旁加收只能收取一次。</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6"/>
                <w:szCs w:val="16"/>
              </w:rPr>
            </w:pP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通过脑电图仪器采集分析脑电活动。</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所定价格涵盖设备准备、安装、记录、分析、出具报告等步骤所需的人力资源和基本物质资源消耗。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特殊电极脑电图检查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指：使用鼻咽、蝶骨、皮层特殊电极进行脑电图检查。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特殊诱发脑电图检查</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指：光、电等特殊诱发后进行脑电图检查。</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高密度脑电图</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指：128导联及以上脑电图。</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4.4个小时及以内按一次收费，4个小时以上每增加1小时加收20%。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84.9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脑电图检查费-特殊电极脑电图检查（加收）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脑电图检查费-特殊诱发脑电图检查（加收）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012401000010031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脑电图检查费-高密度脑电图检查（加收）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302.3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脑磁图检查费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eastAsia="zh-CN" w:bidi="ar"/>
              </w:rPr>
            </w:pPr>
            <w:r>
              <w:rPr>
                <w:rFonts w:hint="eastAsia" w:ascii="Times New Roman" w:hAnsi="Times New Roman" w:eastAsia="宋体" w:cs="宋体"/>
                <w:color w:val="auto"/>
                <w:kern w:val="0"/>
                <w:sz w:val="18"/>
                <w:szCs w:val="18"/>
                <w:lang w:bidi="ar"/>
              </w:rPr>
              <w:t>通过仪器采集分析脑磁图电波</w:t>
            </w:r>
            <w:r>
              <w:rPr>
                <w:rFonts w:hint="eastAsia" w:ascii="Times New Roman" w:hAnsi="Times New Roman" w:eastAsia="宋体" w:cs="宋体"/>
                <w:color w:val="auto"/>
                <w:kern w:val="0"/>
                <w:sz w:val="18"/>
                <w:szCs w:val="18"/>
                <w:lang w:eastAsia="zh-CN" w:bidi="ar"/>
              </w:rPr>
              <w:t>。</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所定价格涵盖设备准备、安装、定位、采集、记录、出具报告等步骤所需的人力资源和基本物质资源消耗。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2072.7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通过仪器采集分析静息状态或特定运动中各组肌群数据。</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1.次指1条肌肉，每增加1条肌肉加收100%，最高收费不超过12条肌肉。</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2.震颤分析按单侧（头部左右侧、单肢）收费。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针极肌电图检查费-单纤维检查（加收）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012401000030021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针极肌电图检查费-震颤分析（加收）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单侧</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127.3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120.9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通过仪器对感觉神经或混合神经进行测量。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长时程运动诱发试验按次收费。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神经传导速度测定费-长时程运动诱发试验（加收）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长时程运动诱发试验按次收费。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012401000040021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神经传导速度测定费-寸移运动神经传导测定（加收）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神经电图费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通过仪器刺激周围神经，评定H反射、F波、瞬目反射以及重复神经电刺激等周围神经功能。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所定价格涵盖设备准备、安装、刺激、记录、分析、出具报告等步骤所需的人力资源和基本物质资源消耗。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神经电图费-床旁（加收）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皮肤交感反应检查费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通过仪器刺激对四肢交感神经功能进行检查。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事件相关电位费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通过采集脑诱发电位，对患者注意力、记忆力等认知功能进行评估。</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项</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val="en-US" w:eastAsia="zh-CN" w:bidi="ar"/>
              </w:rPr>
              <w:t>3项及以上的按3项收费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115.6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105.1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99.8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脑干听觉诱发电位费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通过仪器测定主观听阈和双侧听觉诱发电位，评定听觉传导通路功能。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不与耳鼻喉科立项指南中的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听阈检查费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脑干听觉诱发电位费-床旁（加收）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体感诱发电位费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通过刺激体感通路采集分析诱发电位。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单肢</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012401000090001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体感诱发电位费-床旁（加收）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同台设备可完成多项检查项目时，床旁加收只能收取一次。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运动诱发电位费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通过刺激运动通路采集分析诱发电位。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所定价格涵盖设备准备、安装、刺激、采集、分析、出具报告等步骤所需的人力资源和基本物质资源消耗。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单肢</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睡眠神经多导监测费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重点对睡眠状态下患者脑电、肌电、心电等电生理指标进行监测，同步监测患者体动、呼吸行为和功能。</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所定价格涵盖设备准备、安装、记录、分析、出具报告等步骤所需的人力资源和基本物质资源消耗。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val="en-US" w:eastAsia="zh-CN" w:bidi="ar"/>
              </w:rPr>
              <w:t>1.不与呼吸系统类立项指南中的“睡眠呼吸监测费”同时收取。</w:t>
            </w:r>
            <w:r>
              <w:rPr>
                <w:rFonts w:hint="eastAsia" w:ascii="Times New Roman" w:hAnsi="Times New Roman" w:eastAsia="宋体" w:cs="宋体"/>
                <w:color w:val="auto"/>
                <w:kern w:val="0"/>
                <w:sz w:val="18"/>
                <w:szCs w:val="18"/>
                <w:lang w:val="en-US" w:eastAsia="zh-CN" w:bidi="ar"/>
              </w:rPr>
              <w:br w:type="textWrapping"/>
            </w:r>
            <w:r>
              <w:rPr>
                <w:rFonts w:hint="eastAsia" w:ascii="Times New Roman" w:hAnsi="Times New Roman" w:eastAsia="宋体" w:cs="宋体"/>
                <w:color w:val="auto"/>
                <w:kern w:val="0"/>
                <w:sz w:val="18"/>
                <w:szCs w:val="18"/>
                <w:lang w:val="en-US" w:eastAsia="zh-CN" w:bidi="ar"/>
              </w:rPr>
              <w:t>2.睡眠神经多导监测费-便携睡眠神经多导监测按60%收费。</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550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500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eastAsia="zh-CN"/>
              </w:rPr>
            </w:pPr>
            <w:r>
              <w:rPr>
                <w:rFonts w:hint="eastAsia" w:ascii="Times New Roman" w:hAnsi="Times New Roman" w:eastAsia="宋体" w:cs="宋体"/>
                <w:i w:val="0"/>
                <w:iCs w:val="0"/>
                <w:color w:val="auto"/>
                <w:kern w:val="0"/>
                <w:sz w:val="16"/>
                <w:szCs w:val="16"/>
                <w:u w:val="none"/>
                <w:lang w:val="en-US" w:eastAsia="zh-CN" w:bidi="ar"/>
              </w:rPr>
              <w:t>475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450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睡眠神经多导监测费-便携睡眠神经多导监测（减收）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颅内压监测费（有创）</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通过有创方式监测颅内压变化。</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所定价格涵盖摆位、设备准备、安装、监测、记录、分析等步骤所需的人力资源和基本物质资源消耗。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颅内压监测费（无创）</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通过无创方式监测颅内压变化。</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所定价格涵盖摆位、设备准备、安装、监测、记录、分析等步骤所需的人力资源和基本物质资源消耗。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宋体"/>
                <w:color w:val="auto"/>
                <w:sz w:val="18"/>
                <w:szCs w:val="16"/>
                <w:lang w:val="en-US"/>
              </w:rPr>
            </w:pPr>
            <w:r>
              <w:rPr>
                <w:rFonts w:hint="eastAsia" w:ascii="Times New Roman" w:hAnsi="Times New Roman" w:eastAsia="宋体" w:cs="宋体"/>
                <w:i w:val="0"/>
                <w:iCs w:val="0"/>
                <w:color w:val="auto"/>
                <w:kern w:val="0"/>
                <w:sz w:val="16"/>
                <w:szCs w:val="16"/>
                <w:u w:val="none"/>
                <w:lang w:val="en-US" w:eastAsia="zh-CN" w:bidi="ar"/>
              </w:rPr>
              <w:t>5.2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eastAsia="zh-CN" w:bidi="ar"/>
              </w:rPr>
              <w:t>甲</w:t>
            </w:r>
            <w:r>
              <w:rPr>
                <w:rFonts w:hint="eastAsia" w:ascii="Times New Roman" w:hAnsi="Times New Roman" w:eastAsia="宋体" w:cs="宋体"/>
                <w:color w:val="auto"/>
                <w:kern w:val="0"/>
                <w:sz w:val="18"/>
                <w:szCs w:val="16"/>
                <w:lang w:bidi="ar"/>
              </w:rPr>
              <w:t>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脑血管造影费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通过介入方式对脑血管进行造影检查。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所定价格涵盖手术计划、术区准备、消毒铺巾、建立通路、脑血管造影、撤除、闭合血管通路等步骤所需的人力资源和基本物质资源消耗。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次指3根及以下血管，超过3根血管，每增加1根血管加收20%。</w:t>
            </w:r>
            <w:r>
              <w:rPr>
                <w:rFonts w:hint="eastAsia" w:ascii="Times New Roman" w:hAnsi="Times New Roman" w:eastAsia="宋体" w:cs="宋体"/>
                <w:color w:val="auto"/>
                <w:kern w:val="0"/>
                <w:sz w:val="18"/>
                <w:szCs w:val="18"/>
                <w:lang w:val="en-US" w:eastAsia="zh-CN" w:bidi="ar"/>
              </w:rPr>
              <w:t>8根及以上血管按</w:t>
            </w:r>
            <w:r>
              <w:rPr>
                <w:rFonts w:hint="eastAsia" w:ascii="Times New Roman" w:hAnsi="Times New Roman" w:eastAsia="宋体" w:cs="宋体"/>
                <w:color w:val="auto"/>
                <w:kern w:val="0"/>
                <w:sz w:val="18"/>
                <w:szCs w:val="18"/>
                <w:lang w:bidi="ar"/>
              </w:rPr>
              <w:t>8根血管</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1746.3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1654.4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29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脊髓血管造影费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通过介入方式对脊髓血管进行造影检查。</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所定价格涵盖手术计划、术区准备、消毒铺巾、建立通路、脊髓血管造影、撤除、闭合血管通路等步骤所需的人力资源和基本物质资源消耗。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次指4根及以下血管，超过4根血管，每增加1根血管加收20%。</w:t>
            </w:r>
            <w:r>
              <w:rPr>
                <w:rFonts w:hint="eastAsia" w:ascii="Times New Roman" w:hAnsi="Times New Roman" w:eastAsia="宋体" w:cs="宋体"/>
                <w:color w:val="auto"/>
                <w:kern w:val="0"/>
                <w:sz w:val="18"/>
                <w:szCs w:val="18"/>
                <w:lang w:val="en-US" w:eastAsia="zh-CN" w:bidi="ar"/>
              </w:rPr>
              <w:t>12根及以上血管的按</w:t>
            </w:r>
            <w:r>
              <w:rPr>
                <w:rFonts w:hint="eastAsia" w:ascii="Times New Roman" w:hAnsi="Times New Roman" w:eastAsia="宋体" w:cs="宋体"/>
                <w:color w:val="auto"/>
                <w:kern w:val="0"/>
                <w:sz w:val="18"/>
                <w:szCs w:val="18"/>
                <w:lang w:bidi="ar"/>
              </w:rPr>
              <w:t>12根血管</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2494.8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2268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2154.6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2041.2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无创神经刺激治疗费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通过仪器经颅电/磁刺激神经系统的相关部位。</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所定价格涵盖连接电极、设置参数、电/磁刺激治疗等步骤所需的人力资源和基本物质资源消耗。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通过球囊扩张脑血管。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所定价格涵盖手术计划、术区准备、消毒铺巾、建立通路、球囊扩张、撤除、闭合通路，必要时造影确认治疗效果等步骤所需的人力资源和基本物质资源消耗。不含脑血管造影费用。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1.原则上以经一根血管的介入治疗为起点，每增加一根血管的治疗按该项目各级医疗机构收费标准的20%收取。同一血管扩张颅内和颅外多处狭窄的按2根血管计价，颅内部分适用颅内血管加收。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2.脑静脉窦扩张适用颅内血管加收。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3.脑血管治疗后立即行造影确认治疗效果的，不得重复收取脑血管造影费用。</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2557.6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2429.7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2301.8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485.9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013302000030011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脑血管球囊扩张费（介入）-颅内血管（加收）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485.9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通过支架扩张脑血管。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所定价格涵盖手术计划、术区准备、消毒铺巾、建立通路、支架置入、撤除、闭合通路，必要时球囊扩张及造影确认治疗效果等步骤所需的人力资源和基本物质资源消耗。不含脑血管造影费用。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1.原则上以经一根血管的介入治疗为起点，每增加一根血管的治疗按该项目各级医疗机构收费标准的20%收取。同一血管扩张颅内和颅外多处狭窄的按2根血管计价，颅内部分适用颅内血管加收。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2.同一病变部位不与球囊扩张同时收取。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3.脑静脉窦支架置入适用颅内血管加收。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4.脑血管治疗后立即行造影确认治疗效果的，不得重复收取脑血管造影费用。</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2942.7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2787.8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013302000040011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脑血管支架置入费（介入）-颅内血管（加收）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通过血管闭塞端近段及远端两端操作开通血管。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所定价格涵盖手术计划、导管送至闭塞段远端、连通闭塞段两端的血管腔、闭合通路，必要时造影确认治疗效果等步骤所需的人力资源和基本物质资源消耗。不含脑血管造影费用。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3277.5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655.5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39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013302000050011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慢性闭塞脑血管逆向再通费（介入）-颅内血管（加收）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517.5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491.6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脑血管腔内减容费（介入）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通过激光、旋切、旋磨、振波、血栓抽吸等各种物理或机械方式消除脑血管腔内斑块或血栓。</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所定价格涵盖手术计划、术区准备、消毒铺巾、建立通路、通过各种方式消除斑块、撤除、闭合通路，必要时造影确认治疗效果等步骤所需的人力资源和基本物质资源消耗。不含脑血管造影费用。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3022.7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脑血管腔内减容费（介入）-儿童（加收）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604.5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通过介入方式对脑部栓塞的血管进行药物溶栓、疏通治疗。</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2406.8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2078.6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481.4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415.7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393.8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013302000070100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脑血管腔内溶栓费（介入）-脑血管腔内化疗费（扩展）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2406.8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2078.6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通过介入方式将栓塞物质导入脑血管。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所定价格涵盖完成手术计划、术区准备、消毒铺巾、建立通路、穿刺置管、填塞、撤出、闭合通路，必要时造影确认治疗效果等步骤所需的人力资源和基本物质资源消耗。不含脑血管造影费用。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2970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013302000080011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脑血管栓塞费（介入）-脑血管畸形栓塞（加收）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通过介入方式将栓塞物质导入颅内动脉瘤。</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所定价格涵盖完成手术计划、术区准备、消毒铺巾、建立通路、穿刺置管、填塞、撤出、闭合通路，必要时造影确认治疗效果等步骤所需的人力资源和基本物质资源消耗。不含脑血管造影费用。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2565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2436.8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2308.5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49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487.4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通过介入方式将栓塞物质导入脊髓血管。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3540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3057.3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2896.4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013302000100011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脊髓血管栓塞费（介入）-脊髓血管畸形栓塞（加收）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血管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原则上以经一根血管的介入治疗为起点，每增加一根血管的治疗按该项目各级医疗机构收费标准的20%收取。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颅内电极置入费（表面电极）</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将电极和（或）电刺激器等各类信号传导装置临时或永久置入患者颅内。</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表面电极</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指：不侵入脑实质组织的脑皮层表面或硬膜表面电极。</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3247.3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3076.4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颅内电极置入费（表面电极）-儿童（加收）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649.5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615.3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颅内电极置入费（深部电极）</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将电极和（或）电刺激器等各类信号传导装置临时或永久置入患者颅内。</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深部电极</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指：侵入脑实质组织的电极。</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2.次指置入3个及3个以内电极，超过3个电极，每增加1个电极加收15%。</w:t>
            </w:r>
            <w:r>
              <w:rPr>
                <w:rFonts w:hint="eastAsia" w:ascii="Times New Roman" w:hAnsi="Times New Roman" w:eastAsia="宋体" w:cs="宋体"/>
                <w:color w:val="auto"/>
                <w:kern w:val="0"/>
                <w:sz w:val="18"/>
                <w:szCs w:val="18"/>
                <w:lang w:val="en-US" w:eastAsia="zh-CN" w:bidi="ar"/>
              </w:rPr>
              <w:t>8个及以上电极置入按</w:t>
            </w:r>
            <w:r>
              <w:rPr>
                <w:rFonts w:hint="eastAsia" w:ascii="Times New Roman" w:hAnsi="Times New Roman" w:eastAsia="宋体" w:cs="宋体"/>
                <w:color w:val="auto"/>
                <w:kern w:val="0"/>
                <w:sz w:val="18"/>
                <w:szCs w:val="18"/>
                <w:lang w:bidi="ar"/>
              </w:rPr>
              <w:t>8个电极置入</w:t>
            </w:r>
            <w:r>
              <w:rPr>
                <w:rFonts w:hint="eastAsia" w:ascii="Times New Roman" w:hAnsi="Times New Roman" w:eastAsia="宋体" w:cs="宋体"/>
                <w:color w:val="auto"/>
                <w:kern w:val="0"/>
                <w:sz w:val="18"/>
                <w:szCs w:val="18"/>
                <w:lang w:eastAsia="zh-CN" w:bidi="ar"/>
              </w:rPr>
              <w:t>收费</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3610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3420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颅内电极置入费（深部电极）-儿童（加收）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760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通过各种方式将置入脑内的电极/电刺激器取出。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颅内电极更换电池按50%收取。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2166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2052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433.2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59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通过将脑机接口系统置入大脑皮层或特定神经区域，实时采集神经信号，实现大脑与外部设备的信息交互。</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所定价格涵盖手术计划、术区准备、消毒铺巾、定位、穿刺或切开、脑电极置入、参数调整、信号调试与验证、固定及缝合等步骤所需的人力资源和基本物质资源消耗。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5613.6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1122.7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通过手术方式将已置入大脑皮层或特定神经区域的脑机接口系统取出。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所定价格涵盖手术计划、术区准备、消毒铺巾、定位、穿刺或切开、脑电极取出、信号接口断连、创面修复、固定缝合等步骤所需的人力资源和基本物质资源消耗。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2818.2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2677.3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2536.4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013302000020001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侵入式脑机接口取出费-儿童（加收）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535.5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非侵入式脑机接口适配费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通过外部放置的电极采集脑电信号，进行脑机接口系统的调试和功能监测。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所定价格涵盖设备准备、外部电极放置与调整、信号采集与实时监控、算法调试、功能验证、数据分析及系统优化等步骤所需的人力资源和基本物质资源消耗。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将电极和（或）电刺激器等各类信号传导装置临时或永久置入患者脊髓。</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指：硬膜外、硬膜下、脊髓表面、脊髓内和椎管内神经根。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3982.8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3620.7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3439.7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3258.6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687.9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通过各种方式将置入脊髓的电极电刺激器取出。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将电极和（或）电刺激器等各类信号传导装置临时或永久置入患者周围神经。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所定价格涵盖手术计划、术区准备、消毒铺巾、定位、穿刺或切开、电极置入、参数调整、效果测试、固定、缝合等步骤所需的人力资源和基本物质资源消耗。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周围神经电极取出费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69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172.7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周围神经电极置入费-迷走神经刺激器置入（扩展）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013302000161100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周围神经电极置入费-骶神经刺激装置永久置入（扩展）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863.6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通过各种方式将置入周围神经的电极/电刺激器取出。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454.6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431.8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409.1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周围神经电极取出费-儿童（加收）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012401000160000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神经电生理定位监测费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通过已置入和（或）贴附的电极等监测装置，实时定位和（或）监测术中神经功能状态。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所定价格涵盖刺激、定位、监测等步骤所需的人力资源和基本物质资源消耗。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小时</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检查费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颅内探查费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通过手术探查颅内情况。</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所定价格涵盖手术计划、术区准备、消毒铺巾、开颅、探查、关颅、缝合、处理手术用具等步骤所需的人力资源和基本物质资源消耗。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不与同部位其他手术同时收取。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1059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962.7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914.6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866.4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颅内探查费-儿童（加收）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211.8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182.9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173.3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通过对硬膜外/硬膜下/脊膜外穿刺、置管引流。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所定价格涵盖定位、消毒铺巾、钻孔或切皮钻孔、穿刺、排液、固定、置管引流、缝合等步骤所需的人力资源和基本物质资源消耗。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1.颅脑穿刺引流按每钻孔计为一次。</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2.腰大池穿刺引流按每脊柱节段计为一次。</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1422.1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颅脑穿刺引流费-脑内穿刺引流（加收）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79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013302000190100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颅脑穿刺引流费-腰大池穿刺引流（扩展）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1422.1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脑脊液置换费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通过引流脑脊液，并注射无菌生理盐水、人工脑脊液等，对脑脊液进行置换。</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所定价格涵盖手术计划、术区准备、消毒铺巾、穿刺、引流、注射无菌生理盐水或人工脑脊液等步骤所需的人力资源和基本物质资源消耗。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脑脊液置换费-儿童（加收）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通过各种方式在颅内或椎管内置入储液装置及管路，并于皮下置入储液囊。</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所定价格涵盖定位、切开、置入脑脊液储液装置、缝合等步骤所需的人力资源和基本物质资源消耗。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1.储液装置包含药物泵。</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2.通过储液装置穿刺向颅内注射药物参照一般治疗中注射项目收费。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1068.8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通过各种方式将置入的储液装置及管路取出。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618.8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颅内储液装置换管费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通过各种方式更换置入的储液装置及管路。</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所定价格涵盖手术计划、术区准备、消毒铺巾、切开、更换、缝合等步骤所需的人力资源和基本物质资源消耗。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颅内储液装置置入费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颅内储液装置取出费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1068.8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颅内储液装置换管费-儿童（加收）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89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开颅颅内减压费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通过手术去除部分颅骨、脑组织或其他病变部位，降低颅内压。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所定价格涵盖手术计划、术区准备、消毒铺巾、开颅、减压处理、缝合等步骤所需的人力资源和基本物质资源消耗。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2543.6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2312.4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2196.8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2081.2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开颅颅内减压费-儿童（加收）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508.7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439.4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416.2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通过去除、离断、毁损等手术方式治疗颅内病变。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4297.3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3906.6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3711.3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3515.9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742.3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703.2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通过去除、离断、毁损等手术方式治疗复杂颅内病变。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指：幕下病变、累及重要血管（浅部及深部动静脉、静脉窦）、累及功能区、血管病变、多个病灶切除、病变最大径大于30mm、病变弥散。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5240.6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4764.2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4526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4287.8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1048.1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952.8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905.2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通过手术切除或清除颅底病变。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4832.5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4393.2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4173.5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3953.9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966.5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878.6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834.7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通过手术切除或清除颅底的复杂病变。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所定价格涵盖手术计划、术区准备、消毒铺巾、开颅、探查、治疗病变、关颅等步骤所需的人力资源和基本物质资源消耗。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指：病变累及硬膜内的脑与神经结构、累及重要的脑血管（浅部及深部动静脉、静脉窦）、血管病变、多个病灶切除、病变最大径大于30mm、病变弥散。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5112.1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4647.4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4182.7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1022.4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929.5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883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836.5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99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颅骨病变切除费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通过手术切除异常增殖的颅骨组织，修复颅骨结构。</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所定价格涵盖手术计划、术区准备、消毒铺巾、开颅、增殖骨切除、颅骨重塑、闭合切口等步骤所需的人力资源和基本物质资源消耗。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颅骨修复费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颅骨重建费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1198.3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1089.4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1034.9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980.5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013302000290001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颅骨病变切除费-儿童（加收）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239.7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217.9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颅骨修复费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通过手术修复外伤、畸形、感染等多种情况导致的颅骨缺损。</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所定价格涵盖手术计划、术区准备、消毒铺巾、切开、修复、缝合等步骤所需的人力资源和基本物质资源消耗。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颅骨病变切除费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颅骨重建费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1737.3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1579.4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1500.4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颅骨修复费-儿童（加收）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315.9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通过手术重建颅骨形态。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所定价格涵盖手术计划、术区准备、消毒铺巾、颅骨重建等步骤所需的人力资源和基本物质资源消耗。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不与</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颅骨病变切除费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颅骨修复费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颅骨重建费-儿童（加收）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通过手术借助自体组织或人工支撑结构修补破损硬膜替代缺损骨质，重建颅底结构。</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所定价格涵盖手术计划、术区准备、消毒铺巾、开颅、颅底重建、关颅等步骤所需的人力资源和基本物质资源消耗。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2940.7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619.1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588.1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557.2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013302000320100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颅底重建费-脑脊液漏修补（扩展）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3095.5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2940.7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2786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通过手术对脑室的梗阻、积液、出血等情形进行开窗造瘘。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所定价格涵盖手术计划、术区准备、消毒铺巾、开颅、造瘘、关颅等步骤所需的人力资源和基本物质资源消耗。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109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551.2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脑室造瘘费-终板造瘘（扩展）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013302000331100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脑室造瘘费-透明隔造瘘（扩展）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造瘘口</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2756.1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2505.5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2380.2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脑脊膜膨出修补费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通过手术修补脑脊膜膨出、脑组织膨出、脊髓组织膨出及周围神经根膨出等各种类型的脑脊膜膨出症。</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所定价格涵盖手术计划、术区准备、消毒铺巾、切开、探查定位、脑脊膜修补、缝合等步骤所需的人力资源和基本物质资源消耗。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2204.7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2004.3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1904.1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1803.9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脑脊膜膨出修补费-儿童（加收）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440.9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400.9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380.8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通过手术夹闭、包裹动脉瘤，并成形或孤立。</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所定价格涵盖手术计划、术区准备、消毒铺巾、开颅、夹闭、包裹、成形、关颅等步骤所需的人力资源和基本物质资源消耗。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1.次指1个动脉瘤，每增加1个动脉瘤加收500元。</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2.大型动脉瘤指最大径15mm以上。</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4752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4320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3888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950.4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820.8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颅内动脉瘤夹闭成形费-大型动脉瘤（加收）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503.5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013302000350021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颅内动脉瘤夹闭成形费-破裂动脉瘤（加收）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950.4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820.8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777.6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通过颅内外血管建立通路。</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所定价格涵盖手术计划、术区准备、消毒铺巾、开颅、颅内外动脉暴露、搭桥、关颅等步骤所需的人力资源和基本物质资源消耗。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次指1条血管，每增加1条血管加收50%。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3939.3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3581.2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3402.1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3223.1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119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716.2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680.4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013302000360011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颅内外动脉搭桥费-移植血管搭桥（加收）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1969.7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1790.6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1701.1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1611.5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颅内血管重建费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通过自体血管或人工血管重建颅内血管。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所定价格涵盖手术计划、术区准备、消毒铺巾、开颅、颅内血管重建、关颅等步骤所需的人力资源和基本物质资源消耗。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5841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5310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5044.5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颅内血管重建费-儿童（加收）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1168.2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1062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1008.9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955.8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脑脊液分流调控费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通过体外控制装置调整分流管阀门压力参数。</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所定价格涵盖连接设备、仪器参数调试、数据获取、检测分析等步骤所需的人力资源和基本物质资源消耗。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129.5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122.7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通过各种方式置入脑脊液分流装置。</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所定价格涵盖手术计划、术区准备、消毒铺巾、定位、切开、穿刺、置管，引流、固定、缝合等步骤所需的人力资源和基本物资消耗。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脑脊液分流装置取出费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1934.1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1837.4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386.8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348.1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013302000380100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脑脊液分流装置置入费-腰大池腹腔分流（扩展）</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1934.1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1837.4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通过各种方式将置入的分流装置取出。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773.6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013302000390001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脑脊液分流装置取出费-儿童（加收）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154.7</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139.3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129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颅内压监测探头置入费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通过各种方式置入颅内压监测探头。</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所定价格涵盖手术计划、术区准备、消毒铺巾、开颅、置入探头、固定、关颅等步骤所需的人力资源和基本物质资源消耗。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同台手术不得同时收取</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颅内压监测探头取出费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822.8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710.6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673.2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颅内压监测探头置入费-儿童（加收）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164.6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149.6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颅内压监测探头取出费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通过各种方式将置入的颅内压监测探头取出。</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所定价格涵盖手术计划、术区准备、消毒铺巾、切开、取出、缝合等步骤所需的人力资源和基本物质资源消耗。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493.7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448.8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426.4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颅内压监测探头取出费-儿童（加收）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98.7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神经刺激器适配费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对已置入的神经刺激器进行程控测试。</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所定价格涵盖装置连接、数据读取分析、参数调整、功能优化、安全性检查等步骤所需的人力资源和基本物资消耗。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155.5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椎管内切开引流费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通过手术切开椎管内脓肿、血肿等进行引流。</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所定价格涵盖手术计划、术区准备、消毒铺巾、定位、切开椎管、引流、固定、缝合等步骤所需的人力资源和基本物质资源消耗。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2337.5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2018.8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1912.5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椎管内切开引流费-儿童（加收）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467.5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脊髓内引流费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通过手术引流脊髓内积液。</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所定价格涵盖手术计划、术区准备、消毒铺巾、定位、切开或穿刺椎管至髓内、引流、固定、缝合等步骤所需的人力资源和基本物质资源消耗。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2475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2137.5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脊髓内引流费-儿童（加收）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427.5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通过手术切除脊髓内病变。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3976.4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3777.6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3578.8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139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874.8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795.3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755.5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715.8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通过手术切除脊髓内复杂病变。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指：病变范围大于一个椎体长度、远离脊髓表面或位于脊髓前方、血管病变、多个病灶切除、病变弥散。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4974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4521.8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4295.7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4069.6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髓内病变切除费（复杂）-儿童（加收）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994.8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904.4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859.1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813.9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髓外病变切除费（常规）</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通过手术切除脊髓外病变。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3189.8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2899.8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2754.8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2609.8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髓外病变切除费（常规）-儿童（加收）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髓外病变切除费（复杂）</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通过手术切除脊髓外复杂病变。</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所定价格涵盖手术计划、术区准备、消毒铺巾、切开、探查、病变切除、缝合等步骤所需的人力资源和基本物质资源消耗。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复杂</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指：病变范围大于两个椎体长度、位于椎管前方、血管性病变、椎管内外沟通、病变弥散。</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3739.8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3399.8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3229.8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3059.8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髓外病变切除费（复杂）-儿童（加收）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646</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612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颈动脉内/外膜剥脱费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通过手术切除颈动脉内膜或外膜。</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所定价格涵盖手术计划、术区准备、消毒铺巾、颈部血管暴露、颈动脉内/外膜剥脱、缝合、关闭，必要时修补等步骤所需的人力资源和基本物质资源消耗。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3924.4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3567.6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3389.2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3210.8</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颈动脉内/外膜剥脱费-儿童（加收）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784.9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713.5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677.8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642.2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椎动脉内/外膜剥脱费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通过手术切除椎动脉内膜或外膜。</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所定价格涵盖手术计划、术区准备、消毒铺巾、椎动脉暴露、椎动脉内/外膜剥脱、缝合、关闭，必要时修补等步骤所需的人力资源和基本物质资源消耗。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3415.5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3105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2949.8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2794.5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149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013302000490001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椎动脉内/外膜剥脱费-儿童（加收）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683.1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558.9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颞肌颞浅动脉贴敷费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通过颅外血供丰富的肌肉等组织，帖敷于脑组织表面。</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所定价格涵盖手术计划、术区准备、消毒铺巾、开颅、颞肌颞浅动脉贴敷、关颅等步骤所需的人力资源和基本物质资源消耗。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3267</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2970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2821.5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2673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颞肌颞浅动脉贴敷费-儿童（加收）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653.4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594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564.3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534.6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颈部动脉结扎费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通过手术结扎颈部动脉。</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所定价格涵盖手术计划、术区准备、消毒铺巾、定位、颈部动脉结扎、缝合等步骤所需的人力资源和基本物质资源消耗。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1444.3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1313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1247.4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1181.7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颈部动脉结扎费-儿童（加收）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288.9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262.6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249.5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236.3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神经阻滞治疗费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通过物理压迫或化学毁损的方式阻断神经传递信号。</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所定价格涵盖术区准备、定位、消毒铺巾、压迫、注药、观察、记录等步骤所需的人力资源和基本物质资源消耗。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013101000050001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神经阻滞治疗费-三叉神经节（加收）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501.4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455.8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433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410.2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乙类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治疗费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013302000520000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通过手术全部或部分切除颅神经。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所定价格涵盖手术计划、术区准备、消毒铺巾、定位、开颅、探查、神经切断、关颅等步骤所需的人力资源和基本物质资源消耗。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指：位于颅内和颅底、眼眶、颈深部的十二对颅神经部分。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3603.9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3276.3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3112.5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2948.7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013302000520001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655.3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622.5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589.7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013302000530000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脊髓及脊神经切断费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通过手术切断部分脊髓和（或）脊神经。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脊髓及脊神经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指：位于椎管内及椎间孔周围的脊神经部分。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3669.5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3335.9</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3169.1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3002.3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159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013302000530001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脊髓及脊神经切断费-儿童（加收）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733.9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667.2</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633.8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600.5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013302000540000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通过手术全部或部分切除内脏神经。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内脏神经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指：分布在胸腔、腹腔及盆腔脏器的神经。</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4042.5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3675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3491.3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3307.5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013302000540001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808.5</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735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698.3</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661.5</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013302000550000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周围神经切断费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通过手术全部或部分切除周围神经。</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所定价格涵盖手术计划、术区准备、消毒铺巾、定位、切开、探查、神经切断、缝合等步骤所需的人力资源和基本物质资源消耗。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指：位于头面部、躯干及四肢的颅神经和脊神经主干或分支。</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2.同一神经切断费不得与松解费同时收取。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1630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1481.8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1407.7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1333.6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013302000550001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周围神经切断费-儿童（加收）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296.4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281.5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266.7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013302000560000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通过手术松解颅神经粘连。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所定价格涵盖手术计划、术区准备、消毒铺巾、定位、开颅、松解及梳理、关颅等步骤所需的人力资源和基本物质资源消耗。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颅神经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指：位于颅内和颅底、眼眶、颈深部的十二对颅神经部分。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3985.3</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3623</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3441.9</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3260.7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013302000560001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797.1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724.6</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688.4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652.1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166</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013302000570000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脊髓及神经根松解费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通过手术松解脊髓及神经根粘连。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脊髓及脊神经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指：位于椎管内及椎间孔周围的脊神经部分。</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2624.1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2385.5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2266.2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2147</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167</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013302000570001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脊髓及神经根松解费-儿童（加收）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524.8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477.1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453.2</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429.4</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168</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013302000580000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通过手术松解内脏神经粘连。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内脏神经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指：分布在胸腔、腹腔及盆腔脏器的神经。</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3300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2850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2700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169</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013302000580001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内脏神经松解费-儿童（加收）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660</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600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570</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540</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170</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013302000590000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周围神经松解费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通过手术松解周围神经粘连。</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所定价格涵盖手术计划、术区准备、消毒铺巾、定位、切开、松解及梳理、缝合等步骤所需的人力资源和基本物质资源消耗。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1.本项目所称</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周围神经</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指：位于头面部、躯干的颅神经和脊神经主干或分支。</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2.同一神经松解费不得与切断费同时收取。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3.肢体神经松解按照骨骼肌肉系统类立项指南中的</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肢体神经松解费</w:t>
            </w:r>
            <w:r>
              <w:rPr>
                <w:rFonts w:hint="eastAsia" w:ascii="Times New Roman" w:hAnsi="Times New Roman" w:eastAsia="宋体" w:cs="宋体"/>
                <w:color w:val="auto"/>
                <w:kern w:val="0"/>
                <w:sz w:val="18"/>
                <w:szCs w:val="18"/>
                <w:lang w:eastAsia="zh-CN" w:bidi="ar"/>
              </w:rPr>
              <w:t>”</w:t>
            </w:r>
            <w:r>
              <w:rPr>
                <w:rFonts w:hint="eastAsia" w:ascii="Times New Roman" w:hAnsi="Times New Roman" w:eastAsia="宋体" w:cs="宋体"/>
                <w:color w:val="auto"/>
                <w:kern w:val="0"/>
                <w:sz w:val="18"/>
                <w:szCs w:val="18"/>
                <w:lang w:bidi="ar"/>
              </w:rPr>
              <w:t>收取。</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1740.8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1582.5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1503.4</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1424.3</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171</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013302000590001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周围神经松解费-儿童（加收）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次</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348.2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316.5</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300.7</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284.9</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172</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013302000600000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颅神经修复吻合费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通过手术将颅神经断端与自身或其它神经吻合。</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所定价格涵盖手术计划、术区准备、消毒铺巾、定位、开颅、颅神经探查、吻合、关颅等步骤所需的人力资源和基本物质资源消耗。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2222.1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2020.1</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1919.1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1818.1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173</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013302000600001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颅神经修复吻合费-儿童（加收）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444.4</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404</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383.8</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363.6</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shd w:val="clear" w:color="auto" w:fill="FFFFFF"/>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174</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013302000610000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周围神经修复吻合费</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通过手术将周围神经断端与自身或其它神经吻合。</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所定价格涵盖手术计划、术区准备、消毒铺巾、切开、周围神经探查、吻合、缝合等步骤所需的人力资源和基本物质资源消耗。</w:t>
            </w: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2079</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1890</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1795.5</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1701</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甲类</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r>
        <w:tblPrEx>
          <w:tblCellMar>
            <w:top w:w="0" w:type="dxa"/>
            <w:left w:w="108" w:type="dxa"/>
            <w:bottom w:w="0" w:type="dxa"/>
            <w:right w:w="108" w:type="dxa"/>
          </w:tblCellMar>
        </w:tblPrEx>
        <w:trPr>
          <w:cantSplit/>
          <w:trHeight w:val="23" w:hRule="atLeast"/>
          <w:jc w:val="center"/>
        </w:trPr>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175</w:t>
            </w: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013302000610001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周围神经修复吻合费-儿童（加收）</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每根神经</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color w:val="auto"/>
                <w:kern w:val="0"/>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415.8</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378</w:t>
            </w:r>
          </w:p>
        </w:tc>
        <w:tc>
          <w:tcPr>
            <w:tcW w:w="2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359.1</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ascii="Times New Roman" w:hAnsi="Times New Roman" w:eastAsia="宋体" w:cs="宋体"/>
                <w:color w:val="auto"/>
                <w:sz w:val="18"/>
                <w:szCs w:val="16"/>
              </w:rPr>
            </w:pPr>
            <w:r>
              <w:rPr>
                <w:rFonts w:hint="eastAsia" w:ascii="Times New Roman" w:hAnsi="Times New Roman" w:eastAsia="宋体" w:cs="宋体"/>
                <w:i w:val="0"/>
                <w:iCs w:val="0"/>
                <w:color w:val="auto"/>
                <w:kern w:val="0"/>
                <w:sz w:val="16"/>
                <w:szCs w:val="16"/>
                <w:u w:val="none"/>
                <w:lang w:val="en-US" w:eastAsia="zh-CN" w:bidi="ar"/>
              </w:rPr>
              <w:t>340.2</w:t>
            </w:r>
          </w:p>
        </w:tc>
        <w:tc>
          <w:tcPr>
            <w:tcW w:w="1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自费</w:t>
            </w:r>
          </w:p>
        </w:tc>
        <w:tc>
          <w:tcPr>
            <w:tcW w:w="2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ascii="Times New Roman" w:hAnsi="Times New Roman" w:eastAsia="宋体" w:cs="宋体"/>
                <w:color w:val="auto"/>
                <w:sz w:val="18"/>
                <w:szCs w:val="16"/>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ascii="Times New Roman" w:hAnsi="Times New Roman" w:eastAsia="宋体" w:cs="宋体"/>
                <w:color w:val="auto"/>
                <w:sz w:val="18"/>
                <w:szCs w:val="16"/>
              </w:rPr>
            </w:pPr>
            <w:r>
              <w:rPr>
                <w:rFonts w:hint="eastAsia" w:ascii="Times New Roman" w:hAnsi="Times New Roman" w:eastAsia="宋体" w:cs="宋体"/>
                <w:color w:val="auto"/>
                <w:kern w:val="0"/>
                <w:sz w:val="18"/>
                <w:szCs w:val="16"/>
                <w:lang w:bidi="ar"/>
              </w:rPr>
              <w:t>手术费</w:t>
            </w:r>
          </w:p>
        </w:tc>
      </w:tr>
    </w:tbl>
    <w:p>
      <w:pPr>
        <w:keepNext w:val="0"/>
        <w:keepLines w:val="0"/>
        <w:pageBreakBefore w:val="0"/>
        <w:widowControl/>
        <w:kinsoku/>
        <w:wordWrap/>
        <w:overflowPunct/>
        <w:topLinePunct w:val="0"/>
        <w:autoSpaceDE/>
        <w:autoSpaceDN/>
        <w:bidi w:val="0"/>
        <w:spacing w:line="0" w:lineRule="atLeast"/>
        <w:jc w:val="center"/>
        <w:textAlignment w:val="center"/>
        <w:rPr>
          <w:rFonts w:hint="eastAsia" w:ascii="宋体" w:hAnsi="宋体" w:eastAsia="宋体" w:cs="宋体"/>
          <w:color w:val="auto"/>
          <w:kern w:val="0"/>
          <w:sz w:val="16"/>
          <w:szCs w:val="16"/>
          <w:lang w:bidi="ar"/>
        </w:rPr>
        <w:sectPr>
          <w:pgSz w:w="23811" w:h="16838" w:orient="landscape"/>
          <w:pgMar w:top="1587" w:right="2098" w:bottom="1474" w:left="1984" w:header="850" w:footer="992" w:gutter="0"/>
          <w:pgNumType w:fmt="decimal"/>
          <w:cols w:space="0" w:num="1"/>
          <w:rtlGutter w:val="0"/>
          <w:docGrid w:type="lines" w:linePitch="336" w:charSpace="0"/>
        </w:sect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ascii="Times New Roman" w:hAnsi="Times New Roman" w:eastAsia="方正黑体_GBK" w:cs="Times New Roman"/>
          <w:color w:val="000000"/>
          <w:kern w:val="0"/>
          <w:sz w:val="44"/>
          <w:szCs w:val="44"/>
          <w:shd w:val="clear" w:color="auto" w:fill="FFFFFF"/>
          <w:lang w:bidi="ar"/>
        </w:rPr>
      </w:pPr>
      <w:r>
        <w:rPr>
          <w:rFonts w:hint="eastAsia" w:ascii="Times New Roman" w:hAnsi="Times New Roman" w:eastAsia="方正黑体_GBK" w:cs="方正黑体_GBK"/>
          <w:color w:val="000000"/>
          <w:kern w:val="0"/>
          <w:sz w:val="44"/>
          <w:szCs w:val="44"/>
          <w:shd w:val="clear" w:color="auto" w:fill="FFFFFF"/>
          <w:lang w:bidi="ar"/>
        </w:rPr>
        <w:t>附件2</w:t>
      </w:r>
    </w:p>
    <w:p>
      <w:pPr>
        <w:widowControl/>
        <w:adjustRightInd w:val="0"/>
        <w:snapToGrid w:val="0"/>
        <w:spacing w:line="360" w:lineRule="auto"/>
        <w:ind w:firstLine="1600"/>
        <w:jc w:val="center"/>
        <w:rPr>
          <w:rFonts w:hint="eastAsia" w:ascii="方正小标宋_GBK" w:hAnsi="方正小标宋_GBK" w:eastAsia="方正小标宋_GBK" w:cs="方正小标宋_GBK"/>
          <w:color w:val="000000"/>
          <w:kern w:val="0"/>
          <w:sz w:val="52"/>
          <w:szCs w:val="52"/>
          <w:shd w:val="clear" w:color="auto" w:fill="FFFFFF"/>
          <w:lang w:bidi="ar"/>
        </w:rPr>
      </w:pPr>
      <w:r>
        <w:rPr>
          <w:rFonts w:hint="eastAsia" w:ascii="方正小标宋_GBK" w:hAnsi="方正小标宋_GBK" w:eastAsia="方正小标宋_GBK" w:cs="方正小标宋_GBK"/>
          <w:snapToGrid w:val="0"/>
          <w:kern w:val="0"/>
          <w:sz w:val="52"/>
          <w:szCs w:val="52"/>
          <w:shd w:val="clear" w:color="auto" w:fill="FFFFFF"/>
          <w:lang w:bidi="ar"/>
        </w:rPr>
        <w:t>停用脑电图等医疗服务价格项目表</w:t>
      </w:r>
    </w:p>
    <w:tbl>
      <w:tblPr>
        <w:tblStyle w:val="4"/>
        <w:tblW w:w="4999" w:type="pct"/>
        <w:tblInd w:w="0" w:type="dxa"/>
        <w:tblLayout w:type="autofit"/>
        <w:tblCellMar>
          <w:top w:w="0" w:type="dxa"/>
          <w:left w:w="108" w:type="dxa"/>
          <w:bottom w:w="0" w:type="dxa"/>
          <w:right w:w="108" w:type="dxa"/>
        </w:tblCellMar>
      </w:tblPr>
      <w:tblGrid>
        <w:gridCol w:w="1321"/>
        <w:gridCol w:w="2239"/>
        <w:gridCol w:w="5190"/>
        <w:gridCol w:w="5240"/>
      </w:tblGrid>
      <w:tr>
        <w:tblPrEx>
          <w:tblCellMar>
            <w:top w:w="0" w:type="dxa"/>
            <w:left w:w="108" w:type="dxa"/>
            <w:bottom w:w="0" w:type="dxa"/>
            <w:right w:w="108" w:type="dxa"/>
          </w:tblCellMar>
        </w:tblPrEx>
        <w:trPr>
          <w:trHeight w:val="760" w:hRule="atLeast"/>
          <w:tblHeader/>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序号</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项目编码</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项目名称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方正黑体_GBK" w:cs="方正黑体_GBK"/>
                <w:b w:val="0"/>
                <w:bCs w:val="0"/>
                <w:snapToGrid w:val="0"/>
                <w:color w:val="000000"/>
                <w:sz w:val="21"/>
                <w:szCs w:val="21"/>
              </w:rPr>
            </w:pPr>
            <w:r>
              <w:rPr>
                <w:rFonts w:hint="eastAsia" w:ascii="Times New Roman" w:hAnsi="Times New Roman" w:eastAsia="方正黑体_GBK" w:cs="方正黑体_GBK"/>
                <w:b w:val="0"/>
                <w:bCs w:val="0"/>
                <w:snapToGrid w:val="0"/>
                <w:color w:val="000000"/>
                <w:kern w:val="0"/>
                <w:sz w:val="21"/>
                <w:szCs w:val="21"/>
                <w:lang w:bidi="ar"/>
              </w:rPr>
              <w:t>医保结算编码</w:t>
            </w:r>
          </w:p>
        </w:tc>
      </w:tr>
      <w:tr>
        <w:tblPrEx>
          <w:tblCellMar>
            <w:top w:w="0" w:type="dxa"/>
            <w:left w:w="108" w:type="dxa"/>
            <w:bottom w:w="0" w:type="dxa"/>
            <w:right w:w="108" w:type="dxa"/>
          </w:tblCellMar>
        </w:tblPrEx>
        <w:trPr>
          <w:trHeight w:val="8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14导以上加收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睡眠脑电图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脑电图功率谱</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003101000010000-310100001.20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特殊脑电图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003101000020000-310100002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特殊脑电图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特殊电极</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鼻咽或蝶骨</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003101000020100-310100002.10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310100002.20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特殊脑电图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特殊诱发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003101000020200-310100002.20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脑地形图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脑地形图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彩色加收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脑地形图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14导以上加收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003101000030000-310100003.02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动态脑电图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003101000040000-310100004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132道视频脑电图加收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003101000040000-310100004.01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24小时脑电视频监测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003101000040100-310100004.10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动态脑电图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脑电Holter</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003101000040200-310100004.20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脑电图录象监测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003101000050000-310100005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脑磁图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每增加一项功能定位加收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癫痫定位加收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视觉定位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听觉定位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体感诱发定位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语言区定位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310100006.50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脑磁图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运动区定位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003101000060000-310100006.50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神经传导速度测定</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003101000070000-310100007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神经传导速度测定</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重复神经电刺激</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003101000070100-310100007.10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003101000080000-310100008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体感诱发电位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003101000090000-310100009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地形图分析加收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003101000090001-310100009.01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003101000090000-310100009.02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上肢体感诱发电位检查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003101000090100-310100009.10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体感诱发电位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下肢体感诱发电位检查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003101000090200-310100009.20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运动诱发电位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003101000100000-310100010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运动诱发电位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术中监测收取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003101000100000-310100010.01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事件相关电位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003101000110000-310100011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增加N400检查时加收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003101000110001-310100011.01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003101000110100-310100011.10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体感刺激P300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003101000110200-310100011.20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事件相关电位</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听觉P300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003101000110300-310100011.30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脑干听觉诱发电位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003101000120000-310100012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术中颅神经监测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003101000130000-310100013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颅内压监测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脑氧代谢监测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脑微透析监测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003101000140000-310100014.20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感觉阈值测量</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003101000150000-310100015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感觉阈值测量</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感觉障碍电生理诊断</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003101000150100-310100015.10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侧脑室穿刺术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003101000170000-310100017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侧脑室穿刺术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003101000170100-310100017.10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枕大池穿刺术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003101000180000-310100018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硬脑膜下穿刺术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003101000190000-310100019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植物神经功能检查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003101000210000-310100021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多功能神经肌肉功能监测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003101000220000-310100022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多功能神经肌肉功能监测</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表面肌电测定</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003101000220100-310100022.10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003101000230000-310100023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肌电图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眼肌电图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003101000230100-310100023.10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肌电图</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巨肌电图</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003101000230000-310100023.20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单纤维肌电图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003101000240000-310100024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肌电图监测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003101000250000-310100025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多轨迹断层肌电图</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003101000260000-310100026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神经阻滞治疗</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003101000270000-310100027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神经阻滞治疗</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13个点以上，每增加一个点加收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003101000270000-310100027.01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经皮穿刺三叉神经半月节注射治疗术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003101000280000-310100028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经皮穿刺三叉神经半月节射频温控热凝术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003101000290000-310100029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经皮穿刺三叉神经半月节射频温控热凝术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其他神经射频温控热凝术收取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003101000290000-310100029.01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310100029.10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经皮穿刺三叉神经半月节射频温控热凝术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感觉根射频温控热凝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003101000290100-310100029.10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经皮穿刺三叉神经干注射术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003101000300000-310100030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慢性小脑电刺激术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003101000310000-310100031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慢性小脑电刺激术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小脑功能治疗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003101000310000-310100031.10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周围神经毁损术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003101000330000-310100033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周围神经毁损术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三叉神经干加收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003101000330001-310100033.01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周围神经毁损术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射频加收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003101000330000-310100033.02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脊髓神经电刺激系统植入术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植入3根电极加收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电极或电刺激器调整收取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电刺激器、电极取出术收取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电极、电刺激器更换收取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310100037.05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脊髓神经电刺激系统植入术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脊髓神经电极植入和体外测试术收取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503301000210000-310100037.05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310100039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三叉神经半月节球囊压迫术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003101000290000-310100039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310100041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喉返神经功能监测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003101000210000-310100041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310100042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皮层电刺激脑功能区定位</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003101000020000-310100042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面神经肌电图检查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003105040030000-310504003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003105040030100-310504003.10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眼</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003105040030200-310504003.20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上唇</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003105040030300-310504003.30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310504003.40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面神经肌电图检查</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下唇</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003105040030400-310504003.40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311202002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新生儿测颅压</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003112020020000-311202002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311503012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脑电治疗</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A620</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003115030120000-311503012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311503031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经颅磁刺激治疗</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503115030390000-311503031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经股动脉插管全脑动脉造影术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003206000010000-320600001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经颈动脉插管全脑动脉造影术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003206000010100-320600001.10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经桡动脉插管全脑动脉造影术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003206000010000-320600001.20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单纯脑动静脉瘘栓塞术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003206000020000-320600002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经皮穿刺脑血管腔内球囊成形术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003206000030000-320600003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经皮穿刺脑血管腔内支架置入术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003206000040000-320600004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经皮穿刺脑血管腔内溶栓术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003206000050000-320600005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经皮穿刺脑血管腔内化疗术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003206000060000-320600006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003206000080000-320600008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脑及颅内血管畸形栓塞术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003206000090000-320600009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脊髓动脉造影术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003206000100000-320600010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脊髓血管畸形栓塞术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003206000110000-320600011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320600013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脑血管腔内血栓取出术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503206000120000-320600013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颅骨骨瘤切除术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003302010020000-330201002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颅内硬膜外血肿引流术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003302010040000-330201004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颅内硬膜外血肿引流术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脓肿引流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003302010040100-330201004.10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脑脓肿穿刺引流术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003302010050000-330201005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开放性颅脑损伤清除术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003302010060000-330201006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开放性颅脑损伤清除术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静脉窦破裂加收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003302010060001-330201006.01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开放性颅脑损伤清除术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火器伤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003302010060100-330201006.10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颅骨凹陷骨折复位术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003302010070000-330201007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去颅骨骨瓣减压术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003302010080000-330201008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003302010090000-330201009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假体植入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003302010090100-330201009.10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颅骨钻孔探查术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003302010100000-330201010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颅骨钻孔探查术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两孔以上加收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003302010100001-330201010.01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慢性硬膜下血肿钻孔术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003302010130000-330201013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慢性硬膜下血肿钻孔术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高血压脑出血碎吸术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003302010130100-330201013.10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颅内多发血肿清除术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003302010140000-330201014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330201014.01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颅内多发血肿清除术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非同一部位血肿加收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003302010140001-330201014.01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003302010150000-330201015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使用颅内镜加收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003302010150001-330201015.01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单纯硬膜外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003302010150100-330201015.10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003302010150200-330201015.20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330201015.30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颅内血肿清除术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脑内血肿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003302010150300-330201015.30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开颅颅内减压术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003302010160000-330201016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大脑颞极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003302010160100-330201016.10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003302010160200-330201016.20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枕极切除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003302010160300-330201016.30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开颅颅内减压术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颞肌下减压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003302010160400-330201016.40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经颅视神经管减压术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003302010170000-330201017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颅内压监护传感器置入术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003302010180000-330201018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颅内硬膜下</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003302010180100-330201018.10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硬膜外</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003302010180200-330201018.20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003302010180300-330201018.30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颅内压监护传感器置入术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003302010180400-330201018.40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侧脑室分流术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003302010190000-330201019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侧脑室-心房分流术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003302010190100-330201019.10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侧脑室-膀胱分流术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003302010190200-330201019.20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330201019.30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侧脑室分流术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侧脑室-腹腔分流术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003302010190300-330201019.30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脑室钻孔伴脑室引流术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003302010200000-330201020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颅内蛛网膜囊肿分流术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003302010210000-330201021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幕上浅部病变切除术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003302010220000-330201022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大脑半球胶质瘤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003302010220100-330201022.10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转移癌</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003302010220200-330201022.20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胶质增生</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003302010220300-330201022.30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大脑半球凸面脑膜瘤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003302010220400-330201022.40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330201022.50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幕上浅部病变切除术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003302010220500-330201022.50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矢状窦</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003302010230100-330201023.10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横窦</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003302010230200-330201023.20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大静脉窦旁脑膜瘤切除+血管窦重建术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窦汇区脑膜瘤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003302010230300-330201023.30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幕上深部病变切除术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003302010240000-330201024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幕上深部病变切除术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脑室内肿瘤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003302010240100-330201024.10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幕上深部病变切除术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海绵状血管瘤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003302010240200-330201024.20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第四脑室肿瘤切除术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003302010250000-330201025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小脑下蚓部</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003302010250100-330201025.10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四室室管膜瘤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003302010250200-330201025.20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330201025.30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第四脑室肿瘤切除术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四室导水管囊虫</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003302010250300-330201025.30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经颅内镜脑室肿瘤切除术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003302010260000-330201026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桥小脑角肿瘤切除术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003302010270000-330201027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003302010270100-330201027.10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三叉神经鞘瘤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003302010270200-330201027.20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胆脂瘤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003302010270300-330201027.30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桥小脑角肿瘤切除术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蛛网膜囊肿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003302010270400-330201027.40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脑皮质切除术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003302010280000-330201028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330201029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大脑半球切除术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003302010290000-330201029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选择性杏仁核海马切除术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003302010300000-330201030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胼胝体切开术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003302010310000-330201031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多处软脑膜下横纤维切断术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003302010320000-330201032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癫痫病灶切除术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003302010330000-330201033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癫痫病灶切除术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软脑膜下烧灼术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003302010330200-330201033.10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癫痫病灶切除术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脑叶切除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003302010330300-330201033.20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癫痫刀手术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003302010340000-330201034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脑深部电极置入术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003302010350000-330201035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330201035.01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脑深部电极置入术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每增加一个电极加收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003302010350000-330201035.01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小脑半球病变切除术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003302010360000-330201036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小脑半球胶质瘤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003302010360100-330201036.10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血管网织细胞瘤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003302010360200-330201036.20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转移癌</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003302010360300-330201036.30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003302010360400-330201036.40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330201036.50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小脑半球病变切除术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自发性出血</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003302010360500-330201036.50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003302010370100-330201037.10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桥脑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003302010370200-330201037.20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延髓</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003302010370300-330201037.30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丘脑肿瘤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003302010370400-330201037.40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自发脑干血肿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003302010370500-330201037.50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脑干血管畸形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003302010370600-330201037.60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330201037.70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脑干肿瘤切除术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小脑实性血网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003302010370700-330201037.70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鞍区占位病变切除术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003302010380000-330201038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垂体瘤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003302010380100-330201038.10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鞍区颅咽管瘤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003302010380200-330201038.20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鞍区占位病变切除术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视神经胶质瘤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003302010380300-330201038.30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垂体瘤切除术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003302010390000-330201039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垂体瘤切除术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经口腔</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003302010390100-330201039.10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330201039.20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垂体瘤切除术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经鼻腔</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003302010390200-330201039.20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经口腔入路颅底斜坡肿瘤切除术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003302010400000-330201040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经上颌入路颅底海绵窦侵入肿瘤切除术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003302010400100-330201040.10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颅底肿瘤切除术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003302010410000-330201041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颅底再造术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003302010090000-330201041.02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前颅窝颅内外沟通性肿瘤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003302010410100-330201041.10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199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中颅窝颅内外沟通性肿瘤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003302010410200-330201041.20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003302010410300-330201041.30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003302010410400-330201041.40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后颅窝底肿瘤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003302010410500-330201041.50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330201041.60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颅底肿瘤切除术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颈静脉孔区肿瘤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003302010410600-330201041.60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经颅内镜第三脑室底造瘘术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003302010420000-330201042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经脑室镜胶样囊肿切除术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003302010430000-330201043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脑囊虫摘除术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003302010440000-330201044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经颅内镜经鼻蝶垂体肿瘤切除术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003302010450000-330201045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经颅内镜脑内囊肿造口术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003302010460000-330201046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经颅内镜脑内异物摘除术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003302010470000-330201047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经颅内镜脑室脉络丛烧灼术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003302010480000-330201048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330201049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终板造瘘术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003302010490000-330201049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海绵窦瘘直接手术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003302010500000-330201050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脑脊液漏修补术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003302010510000-330201051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额窦修补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003302010510100-330201051.10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前颅窝</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003302010510200-330201051.20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330201051.30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脑脊液漏修补术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中颅窝底修补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003302010510300-330201051.30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脑脊膜膨出修补术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003302010520000-330201052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环枕畸形减压术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003302010530000-330201053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经口齿状突切除术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003302010540000-330201054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颅缝骨化症整形术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003302010550000-330201055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骨纤维异常增殖切除整形术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003302010560000-330201056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颅缝再造术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003302010570000-330201057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大网膜颅内移植术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003302010580000-330201058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立体定向颅内肿物清除术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003302010590000-330201059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003302010590100-330201059.10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003302010590200-330201059.20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003302010590300-330201059.30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330201059.50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立体定向颅内肿物清除术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取异物</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003302010590500-330201059.50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立体定向脑深部核团毁损术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003302010600000-330201060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增加一个</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靶点</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003302010600001-330201060.01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舞蹈病</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003302010600200-330201060.20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扭转痉挛</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003302010600300-330201060.30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癫痫</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003302010600400-330201060.40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射频治疗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003302010600500-330201060.50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330201060.60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立体定向脑深部核团毁损术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细胞刀治疗</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003302010600500-330201060.60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三叉神经感觉后根切断术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003302020010000-330202001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三叉神经周围支切断术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003302020020000-330202002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三叉神经撕脱术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003302020030000-330202003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三叉神经干鞘膜内注射术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003302020040000-330202004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颞部开颅三叉神经节切断术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003302020050000-330202005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迷路后三叉神经切断术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003302020060000-330202006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颅神经微血管减压术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003302020070000-330202007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使用颅内镜加收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003302020070001-330202007.01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003302020070100-330202007.10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003302020070200-330202007.20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003302020070300-330202007.30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舌咽神经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003302020070400-330202007.40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颅神经微血管减压术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003302020070500-330202007.50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面神经简单修复术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003302020080000-330202008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面神经简单修复术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肌筋膜悬吊术及神经断端直接吻合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003302020080100-330202008.10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面神经简单修复术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局部同一创面的神经移植</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003302020080200-330202008.20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003302020090000-330202009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面副神经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003302020090100-330202009.10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面舌下神经吻合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003302020090200-330202009.20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330202009.30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听神经瘤手术中颅内直接吻合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003302020090300-330202009.30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面神经跨面移植术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003302020100000-330202010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面神经松解减压术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003302020110000-330202011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面神经松解减压术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面神经周围支支配的外周部分松解</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003302020110100-330202011.10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经耳面神经梳理术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003302020120000-330202012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面神经周围神经移植术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003302020130000-330202013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经迷路前庭神经切断术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003302020140000-330202014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迷路后前庭神经切断术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003302020150000-330202015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经内镜前庭神经切断术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003302020160000-330202016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经乙状窦后进路神经切断术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003302020170000-330202017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经乙状窦后进路神经切断术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三叉神经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003302020170100-330202017.10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经乙状窦后进路神经切断术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舌咽神经</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003302020170200-330202017.20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330202018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经颅脑脊液耳漏修补术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003302020180000-330202018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颅内巨大动脉瘤夹闭切除术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003302030010000-330203001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多夹除一个动脉瘤加收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003302030010001-330203001.01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基底动脉瘤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003302030010100-330203001.10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330203001.20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大脑后动脉瘤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003302030010200-330203001.20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颅内动脉瘤夹闭术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003302030020000-330203002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330203002.01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颅内动脉瘤夹闭术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多夹除一个动脉瘤加收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003302030020001-330203002.01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颅内动脉瘤包裹术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003302030030000-330203003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肌肉包裹</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003302030030100-330203003.10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生物胶包裹</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003302030030200-330203003.20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330203003.30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颅内动脉瘤包裹术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单纯栓塞</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003302030030300-330203003.30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颅内巨大动静脉畸形栓塞后切除术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003302030040000-330203004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颅内巨大动静脉畸形栓塞后切除术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脑干周围的小于4cm深部血管畸形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003302030040100-330203004.10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颅内巨大动静脉畸形栓塞后切除术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脑室周围的小于4cm深部血管畸形</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003302030040100-330203004.20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003302030050000-330203005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脑动脉瘤动静脉畸形切除术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003302030060000-330203006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330203006.01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脑动脉瘤动静脉畸形切除术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脑动脉瘤与动静脉畸形不在同一部位加收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003302030060001-330203006.01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颈内动脉内膜剥脱术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003302030070000-330203007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颈内动脉内膜剥脱术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行动脉成形术加收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003302030070001-330203007.01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椎动脉内膜剥脱术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003302030080000-330203008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330203008.01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椎动脉内膜剥脱术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行动脉成形术加收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003302030080001-330203008.01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椎动脉减压术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003302030090000-330203009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289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颈动脉外膜剥脱术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003302030100000-330203010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双侧加收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003302030100001-330203010.01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颈总动脉外膜剥脱术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003302030100100-330203010.10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颈内动脉外膜剥脱术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003302030100200-330203010.20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颈外动脉外膜剥脱术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003302030100400-330203010.30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330203010.40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颈动脉外膜剥脱术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迷走神经剥离术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003302030100300-330203010.40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颈总动脉大脑中动脉吻合术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003302030110000-330203011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颈总动脉大脑中动脉吻合术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取大隐静脉加收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003302030110001-330203011.01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颈总动脉大脑中动脉吻合术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颞浅动脉-大脑中动脉吻合术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003302030110100-330203011.10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颅外内动脉搭桥术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003302030120000-330203012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299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颞肌颞浅动脉贴敷术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003302030130000-330203013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颈动脉结扎术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003302030140000-330203014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颈内动脉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003302030140100-330203014.10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颈外动脉</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003302030140200-330203014.20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330203014.30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颈动脉结扎术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颈总动脉结扎</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003302030140300-330203014.30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330203015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颅内血管重建术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003302030150000-330203015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脊髓和神经根粘连松解术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003302040010000-330204001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脊髓空洞症内引流术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003302040020000-330204002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脊髓丘脑束切断术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003302040030000-330204003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脊髓栓系综合症手术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003302040040000-330204004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309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脊髓前连合切断术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003302040050000-330204005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330204005.10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脊髓前连合切断术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选择性脊神经后根切断术</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003302040050100-330204005.10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椎管内脓肿切开引流术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003302040060000-330204006</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330204006.10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椎管内脓肿切开引流术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硬膜下脓肿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003302040060100-330204006.10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脊髓内病变切除术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003302040070000-330204007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长度超过5cm以上的肿瘤加收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003302040070001-330204007.01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髓内肿瘤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003302040070100-330204007.10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脊髓内病变切除术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髓内血肿清除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003302040070200-330204007.20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脊髓硬膜外病变切除术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003302040080000-330204008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硬脊膜外肿瘤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003302040080100-330204008.10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319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003302040080200-330204008.20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结核瘤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003302040080300-330204008.30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转移瘤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003302040080400-330204008.40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黄韧带增厚</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003302040080500-330204008.50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330204008.60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脊髓硬膜外病变切除术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椎间盘突出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003302040080600-330204008.60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髓外硬脊膜下病变切除术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003302040090000-330204009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长度超过5cm以上的肿瘤加收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003302040090001-330204009.01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硬脊膜下肿瘤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003302040090100-330204009.10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330204009.20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髓外硬脊膜下病变切除术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血肿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003302040090200-330204009.20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脊髓外露修补术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003302040100000-330204010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329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脊髓动静脉畸形切除术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003302040110000-330204011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脊髓蛛网膜下腔腹腔分流术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003302040120000-330204012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脊髓蛛网膜下腔输尿管分流术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003302040130000-330204013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选择性脊神经后根切断术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SPR</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003302040140000-330204014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胸腰交感神经节切断术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003302040150000-330204015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腰骶部潜毛窦切除术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003302040170000-330204017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经皮穿刺骶神经囊肿治疗术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003302040180000-330204018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马尾神经吻合术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003302040190000-330204019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脑脊液置换术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003302040200000-330204020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欧玛亚</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Omaya</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管置入术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003302040210000-330204021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330204022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骶神经调控术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003302040230000-330204022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330300017.10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喉返神经探查术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神经吻合</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003303000170100-330300017.10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经乳突脑脓肿引流术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003305030180000-330503018</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颞叶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003305030180100-330503018.10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小脑</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003305030180200-330503018.20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乙状窦周围脓肿</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003305030180300-330503018.30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穿刺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003305030180400-330503018.40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330503018.50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经乳突脑脓肿引流术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切开引流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003305030180400-330503018.50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经乳突硬膜外脓肿引流术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003305030190000-330503019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经乳突硬膜外脓肿引流术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穿刺</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003305030190100-330503019.10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330503019.20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经乳突硬膜外脓肿引流术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切开引流</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003305030190100-330503019.20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鼻外脑膜脑膨出颅底修补术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003306030010000-330603001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鼻内脑膜脑膨出颅底修补术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003306030020000-330603002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经鼻视神经减压术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003306030040000-330603004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330603005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鼻外视神经减压术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003306030050000-330603005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330604044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颌下神经节副交感神经纤维切断术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503306040520000-330604044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胃迷走神经切断术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003310020130000-331002013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胃迷走神经切断术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选择性迷走神经切除</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003310020130100-331002013.10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331002013.20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胃迷走神经切断术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迷走神经干切断</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003310020130200-331002013.20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电诊断</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003401000070000-340100007</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359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直流电检查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003401000070100-340100007.10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340100007.20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感应电检查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003401000070200-340100007.20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340100007.30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直流-感应电检查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003401000070300-340100007.30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340100007.40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时值检查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003401000070400-340100007.40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340100007.50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强度-频率曲线检查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003401000070500-340100007.50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340100007.60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电诊断</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中频脉冲电检查</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003401000070600-340100007.60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HBB73304</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显微镜下颅内蛛网膜囊肿摘除术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003302010210000-HBB73304</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HBC65302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显微镜下幕上深部异物清除术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003302010240000-HBC65302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003302010240000-HBC73301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HBC73302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显微镜下幕上深部脑室内肿物切除术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003302010240100-HBC73302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369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HBD73301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显微镜下丘脑肿物切除术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003302010370400-HBD73301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HBF65301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显微镜下脑干血肿清除术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003302010370500-HBF65301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显微镜下第三脑室前肿物切除术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HBG73303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显微镜下第三脑室后肿物切除术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003302010240400-HBG73303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显微镜下颅内巨大动脉瘤夹闭切除术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HBJ73302.01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显微镜下颅内巨大动脉瘤夹闭切除术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每增加1个动脉瘤加收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003302030010001-HBJ73302.01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376</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显微镜下颅内巨大动脉瘤夹闭切除术+颈动脉暴露术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003302030010000-HBJ73303</w:t>
            </w:r>
          </w:p>
        </w:tc>
      </w:tr>
      <w:tr>
        <w:tblPrEx>
          <w:tblCellMar>
            <w:top w:w="0" w:type="dxa"/>
            <w:left w:w="108" w:type="dxa"/>
            <w:bottom w:w="0" w:type="dxa"/>
            <w:right w:w="108" w:type="dxa"/>
          </w:tblCellMar>
        </w:tblPrEx>
        <w:trPr>
          <w:trHeight w:val="108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377</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HBJ73303.01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显微镜下颅内巨大动脉瘤夹闭切除术+颈动脉暴露术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每增加1个动脉瘤加收</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003302030010000-HBJ73303.01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378</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显微镜下枕大孔区肿物切除术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003302010370300-HBN73301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379</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显微镜下颈静脉孔区肿物切除术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003302010410600-HBN73302</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HBN73303</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上颌进路颅底肿瘤切除术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003302010410000-HBN73303</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381</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HBN73309</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显微镜下鞍区肿物切除术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003302010380000-HBN73309</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382</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HBN73605</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鼻内镜鞍区肿物切除术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003302010380000-HBN73605</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383</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HVB83301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颅骨缺损修补成形术</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003302010090100-HVB83301</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384</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HVB83301.10</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宋体"/>
                <w:snapToGrid w:val="0"/>
                <w:color w:val="000000"/>
                <w:sz w:val="21"/>
                <w:szCs w:val="21"/>
                <w:lang w:eastAsia="zh-CN"/>
              </w:rPr>
            </w:pPr>
            <w:r>
              <w:rPr>
                <w:rFonts w:hint="eastAsia" w:ascii="Times New Roman" w:hAnsi="Times New Roman" w:eastAsia="宋体" w:cs="宋体"/>
                <w:snapToGrid w:val="0"/>
                <w:color w:val="000000"/>
                <w:kern w:val="0"/>
                <w:sz w:val="21"/>
                <w:szCs w:val="21"/>
                <w:lang w:bidi="ar"/>
              </w:rPr>
              <w:t>颅骨缺损修补成形术</w:t>
            </w:r>
            <w:r>
              <w:rPr>
                <w:rFonts w:hint="eastAsia" w:ascii="Times New Roman" w:hAnsi="Times New Roman" w:eastAsia="宋体" w:cs="宋体"/>
                <w:snapToGrid w:val="0"/>
                <w:color w:val="000000"/>
                <w:kern w:val="0"/>
                <w:sz w:val="21"/>
                <w:szCs w:val="21"/>
                <w:lang w:eastAsia="zh-CN" w:bidi="ar"/>
              </w:rPr>
              <w:t>（</w:t>
            </w:r>
            <w:r>
              <w:rPr>
                <w:rFonts w:hint="eastAsia" w:ascii="Times New Roman" w:hAnsi="Times New Roman" w:eastAsia="宋体" w:cs="宋体"/>
                <w:snapToGrid w:val="0"/>
                <w:color w:val="000000"/>
                <w:kern w:val="0"/>
                <w:sz w:val="21"/>
                <w:szCs w:val="21"/>
                <w:lang w:bidi="ar"/>
              </w:rPr>
              <w:t>颅底再造</w:t>
            </w:r>
            <w:r>
              <w:rPr>
                <w:rFonts w:hint="eastAsia" w:ascii="Times New Roman" w:hAnsi="Times New Roman" w:eastAsia="宋体" w:cs="宋体"/>
                <w:snapToGrid w:val="0"/>
                <w:color w:val="000000"/>
                <w:kern w:val="0"/>
                <w:sz w:val="21"/>
                <w:szCs w:val="21"/>
                <w:lang w:eastAsia="zh-CN" w:bidi="ar"/>
              </w:rPr>
              <w:t>）</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003302010090000-HVB83301.10</w:t>
            </w:r>
          </w:p>
        </w:tc>
      </w:tr>
      <w:tr>
        <w:tblPrEx>
          <w:tblCellMar>
            <w:top w:w="0" w:type="dxa"/>
            <w:left w:w="108" w:type="dxa"/>
            <w:bottom w:w="0" w:type="dxa"/>
            <w:right w:w="108" w:type="dxa"/>
          </w:tblCellMar>
        </w:tblPrEx>
        <w:trPr>
          <w:trHeight w:val="72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385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MAEBZ001</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感觉障碍检查</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snapToGrid w:val="0"/>
                <w:color w:val="000000"/>
                <w:sz w:val="21"/>
                <w:szCs w:val="21"/>
              </w:rPr>
            </w:pPr>
            <w:r>
              <w:rPr>
                <w:rFonts w:hint="eastAsia" w:ascii="Times New Roman" w:hAnsi="Times New Roman" w:eastAsia="宋体" w:cs="宋体"/>
                <w:snapToGrid w:val="0"/>
                <w:color w:val="000000"/>
                <w:kern w:val="0"/>
                <w:sz w:val="21"/>
                <w:szCs w:val="21"/>
                <w:lang w:bidi="ar"/>
              </w:rPr>
              <w:t>003101000150100-MAEBZ001</w:t>
            </w:r>
          </w:p>
        </w:tc>
      </w:tr>
      <w:bookmarkEnd w:id="0"/>
    </w:tbl>
    <w:p>
      <w:pPr>
        <w:rPr>
          <w:rFonts w:ascii="Calibri" w:hAnsi="Calibri" w:eastAsia="宋体" w:cs="Times New Roman"/>
        </w:rPr>
      </w:pPr>
    </w:p>
    <w:p>
      <w:pPr>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br w:type="page"/>
      </w:r>
    </w:p>
    <w:p>
      <w:pPr>
        <w:rPr>
          <w:rFonts w:ascii="Times New Roman" w:hAnsi="Times New Roman" w:eastAsia="方正小标宋_GBK" w:cs="方正小标宋_GBK"/>
          <w:sz w:val="44"/>
          <w:szCs w:val="44"/>
        </w:rPr>
        <w:sectPr>
          <w:footerReference r:id="rId5" w:type="default"/>
          <w:pgSz w:w="16838" w:h="23811"/>
          <w:pgMar w:top="2098" w:right="1474" w:bottom="1984" w:left="1587" w:header="850" w:footer="992" w:gutter="0"/>
          <w:pgNumType w:fmt="decimal"/>
          <w:cols w:space="0" w:num="1"/>
          <w:rtlGutter w:val="0"/>
          <w:docGrid w:type="lines" w:linePitch="336" w:charSpace="0"/>
        </w:sectPr>
      </w:pPr>
    </w:p>
    <w:p>
      <w:pPr>
        <w:rPr>
          <w:rFonts w:ascii="Times New Roman" w:hAnsi="Times New Roman" w:eastAsia="方正小标宋_GBK" w:cs="方正小标宋_GBK"/>
          <w:sz w:val="44"/>
          <w:szCs w:val="44"/>
        </w:rPr>
      </w:pPr>
    </w:p>
    <w:p>
      <w:pPr>
        <w:snapToGrid w:val="0"/>
        <w:spacing w:line="540" w:lineRule="exact"/>
        <w:rPr>
          <w:rFonts w:ascii="Times New Roman" w:hAnsi="Times New Roman" w:eastAsia="方正小标宋_GBK" w:cs="方正小标宋_GBK"/>
          <w:sz w:val="44"/>
          <w:szCs w:val="44"/>
        </w:rPr>
      </w:pPr>
    </w:p>
    <w:p>
      <w:pPr>
        <w:rPr>
          <w:rFonts w:ascii="方正仿宋_GBK" w:hAnsi="Calibri" w:eastAsia="方正仿宋_GBK" w:cs="Times New Roman"/>
          <w:b/>
          <w:bCs/>
          <w:sz w:val="32"/>
          <w:szCs w:val="32"/>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tbl>
      <w:tblPr>
        <w:tblStyle w:val="4"/>
        <w:tblpPr w:leftFromText="180" w:rightFromText="180" w:vertAnchor="text" w:horzAnchor="page" w:tblpX="1674" w:tblpY="1112"/>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21"/>
        <w:gridCol w:w="4429"/>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50" w:type="dxa"/>
            <w:gridSpan w:val="2"/>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firstLine="280" w:firstLineChars="100"/>
              <w:jc w:val="both"/>
              <w:textAlignment w:val="auto"/>
              <w:rPr>
                <w:rFonts w:ascii="Calibri" w:hAnsi="Calibri" w:eastAsia="方正仿宋_GBK" w:cs="Times New Roman"/>
                <w:sz w:val="28"/>
                <w:szCs w:val="28"/>
              </w:rPr>
            </w:pPr>
            <w:r>
              <w:rPr>
                <w:rFonts w:hint="eastAsia" w:ascii="Calibri" w:hAnsi="Calibri" w:eastAsia="方正仿宋_GBK" w:cs="Times New Roman"/>
                <w:sz w:val="28"/>
                <w:szCs w:val="28"/>
                <w:lang w:eastAsia="zh-CN"/>
              </w:rPr>
              <w:t>抄送：</w:t>
            </w:r>
            <w:r>
              <w:rPr>
                <w:rFonts w:hint="eastAsia" w:ascii="Calibri" w:hAnsi="Calibri" w:eastAsia="方正仿宋_GBK" w:cs="Times New Roman"/>
                <w:snapToGrid w:val="0"/>
                <w:spacing w:val="-11"/>
                <w:kern w:val="0"/>
                <w:sz w:val="28"/>
                <w:szCs w:val="28"/>
                <w:lang w:eastAsia="zh-CN"/>
              </w:rPr>
              <w:t>国家医保局价格招采司，市财政局，市卫生健康委，市市场监管局。</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421"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210" w:rightChars="100" w:firstLine="280" w:firstLineChars="100"/>
              <w:textAlignment w:val="auto"/>
              <w:rPr>
                <w:rFonts w:hint="eastAsia" w:ascii="Calibri" w:hAnsi="Calibri" w:eastAsia="方正仿宋_GBK" w:cs="Times New Roman"/>
                <w:kern w:val="2"/>
                <w:sz w:val="28"/>
                <w:szCs w:val="28"/>
                <w:lang w:val="en-US" w:eastAsia="zh-CN" w:bidi="ar-SA"/>
              </w:rPr>
            </w:pPr>
            <w:r>
              <w:rPr>
                <w:rFonts w:hint="eastAsia" w:ascii="Calibri" w:hAnsi="Calibri" w:eastAsia="方正仿宋_GBK" w:cs="Times New Roman"/>
                <w:sz w:val="28"/>
                <w:szCs w:val="28"/>
              </w:rPr>
              <w:t>重庆市医疗保障局办公室</w:t>
            </w:r>
          </w:p>
        </w:tc>
        <w:tc>
          <w:tcPr>
            <w:tcW w:w="4429"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600" w:lineRule="exact"/>
              <w:ind w:right="210" w:rightChars="100" w:firstLine="280" w:firstLineChars="100"/>
              <w:jc w:val="right"/>
              <w:textAlignment w:val="auto"/>
              <w:rPr>
                <w:rFonts w:hint="eastAsia" w:ascii="Calibri" w:hAnsi="Calibri" w:eastAsia="方正仿宋_GBK" w:cs="Times New Roman"/>
                <w:kern w:val="2"/>
                <w:sz w:val="28"/>
                <w:szCs w:val="28"/>
                <w:lang w:val="en-US" w:eastAsia="zh-CN" w:bidi="ar-SA"/>
              </w:rPr>
            </w:pPr>
            <w:r>
              <w:rPr>
                <w:rFonts w:hint="eastAsia" w:ascii="Calibri" w:hAnsi="Calibri" w:eastAsia="方正仿宋_GBK" w:cs="Times New Roman"/>
                <w:sz w:val="28"/>
                <w:szCs w:val="28"/>
              </w:rPr>
              <w:t>　　</w:t>
            </w:r>
            <w:r>
              <w:rPr>
                <w:rFonts w:hint="eastAsia" w:ascii="Times New Roman" w:hAnsi="Times New Roman" w:eastAsia="方正仿宋_GBK" w:cs="Times New Roman"/>
                <w:sz w:val="28"/>
                <w:szCs w:val="28"/>
              </w:rPr>
              <w:t>2026</w:t>
            </w:r>
            <w:r>
              <w:rPr>
                <w:rFonts w:hint="eastAsia" w:ascii="Calibri" w:hAnsi="Calibri" w:eastAsia="方正仿宋_GBK" w:cs="Times New Roman"/>
                <w:sz w:val="28"/>
                <w:szCs w:val="28"/>
              </w:rPr>
              <w:t>年</w:t>
            </w:r>
            <w:r>
              <w:rPr>
                <w:rFonts w:hint="default" w:ascii="Times New Roman" w:hAnsi="Times New Roman" w:eastAsia="方正仿宋_GBK" w:cs="Times New Roman"/>
                <w:sz w:val="28"/>
                <w:szCs w:val="28"/>
                <w:lang w:val="en-US"/>
              </w:rPr>
              <w:t>6</w:t>
            </w:r>
            <w:r>
              <w:rPr>
                <w:rFonts w:hint="eastAsia" w:ascii="Calibri" w:hAnsi="Calibri" w:eastAsia="方正仿宋_GBK" w:cs="Times New Roman"/>
                <w:sz w:val="28"/>
                <w:szCs w:val="28"/>
              </w:rPr>
              <w:t>月</w:t>
            </w:r>
            <w:r>
              <w:rPr>
                <w:rFonts w:hint="default" w:ascii="Times New Roman" w:hAnsi="Times New Roman" w:eastAsia="方正仿宋_GBK" w:cs="Times New Roman"/>
                <w:sz w:val="28"/>
                <w:szCs w:val="28"/>
                <w:lang w:val="en-US"/>
              </w:rPr>
              <w:t>23</w:t>
            </w:r>
            <w:r>
              <w:rPr>
                <w:rFonts w:hint="eastAsia" w:ascii="Calibri" w:hAnsi="Calibri" w:eastAsia="方正仿宋_GBK" w:cs="Times New Roman"/>
                <w:sz w:val="28"/>
                <w:szCs w:val="28"/>
              </w:rPr>
              <w:t>日印发</w:t>
            </w:r>
          </w:p>
        </w:tc>
      </w:tr>
    </w:tbl>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2" w:name="公章"/>
      <w:bookmarkEnd w:id="2"/>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方正仿宋_GBK" w:hAnsi="Calibri" w:eastAsia="方正仿宋_GBK" w:cs="Times New Roman"/>
          <w:vanish/>
        </w:rPr>
      </w:pPr>
    </w:p>
    <w:p>
      <w:pPr>
        <w:rPr>
          <w:vanish/>
        </w:rPr>
      </w:pPr>
    </w:p>
    <w:sectPr>
      <w:pgSz w:w="11905" w:h="16838"/>
      <w:pgMar w:top="2098" w:right="1474" w:bottom="1984" w:left="1587" w:header="850" w:footer="992" w:gutter="0"/>
      <w:pgNumType w:fmt="decimal"/>
      <w:cols w:space="0" w:num="1"/>
      <w:rtlGutter w:val="0"/>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EAC8A6F-ED6D-48E8-8535-E62E12C92E22}"/>
  </w:font>
  <w:font w:name="方正小标宋_GBK">
    <w:panose1 w:val="03000509000000000000"/>
    <w:charset w:val="86"/>
    <w:family w:val="script"/>
    <w:pitch w:val="default"/>
    <w:sig w:usb0="00000001" w:usb1="080E0000" w:usb2="00000000" w:usb3="00000000" w:csb0="00040000" w:csb1="00000000"/>
    <w:embedRegular r:id="rId2" w:fontKey="{F7127CAF-E4CD-4BA7-A599-D7DCE02DB234}"/>
  </w:font>
  <w:font w:name="方正仿宋_GBK">
    <w:panose1 w:val="03000509000000000000"/>
    <w:charset w:val="86"/>
    <w:family w:val="script"/>
    <w:pitch w:val="default"/>
    <w:sig w:usb0="00000001" w:usb1="080E0000" w:usb2="00000000" w:usb3="00000000" w:csb0="00040000" w:csb1="00000000"/>
    <w:embedRegular r:id="rId3" w:fontKey="{81A8A7B7-FFF3-4B6F-8E6C-1503BB9EBC0E}"/>
  </w:font>
  <w:font w:name="方正仿宋简体">
    <w:panose1 w:val="03000509000000000000"/>
    <w:charset w:val="86"/>
    <w:family w:val="script"/>
    <w:pitch w:val="default"/>
    <w:sig w:usb0="00000001" w:usb1="080E0000" w:usb2="00000000" w:usb3="00000000" w:csb0="00040000" w:csb1="00000000"/>
    <w:embedRegular r:id="rId4" w:fontKey="{90261D92-678A-4CD2-999C-29797547F8E0}"/>
  </w:font>
  <w:font w:name="方正小标宋简体">
    <w:panose1 w:val="03000509000000000000"/>
    <w:charset w:val="86"/>
    <w:family w:val="auto"/>
    <w:pitch w:val="default"/>
    <w:sig w:usb0="00000001" w:usb1="080E0000" w:usb2="00000000" w:usb3="00000000" w:csb0="00040000" w:csb1="00000000"/>
    <w:embedRegular r:id="rId5" w:fontKey="{B678ED6D-6E7F-469A-A06E-0A270309659D}"/>
  </w:font>
  <w:font w:name="方正黑体_GBK">
    <w:panose1 w:val="03000509000000000000"/>
    <w:charset w:val="86"/>
    <w:family w:val="script"/>
    <w:pitch w:val="default"/>
    <w:sig w:usb0="00000001" w:usb1="080E0000" w:usb2="00000000" w:usb3="00000000" w:csb0="00040000" w:csb1="00000000"/>
    <w:embedRegular r:id="rId6" w:fontKey="{F70A5576-4C8A-4661-9500-0F99DE8954AA}"/>
  </w:font>
  <w:font w:name="方正仿宋_GB2312">
    <w:altName w:val="仿宋"/>
    <w:panose1 w:val="02000000000000000000"/>
    <w:charset w:val="86"/>
    <w:family w:val="auto"/>
    <w:pitch w:val="default"/>
    <w:sig w:usb0="00000000" w:usb1="00000000" w:usb2="00000012" w:usb3="00000000" w:csb0="00040001" w:csb1="00000000"/>
    <w:embedRegular r:id="rId7" w:fontKey="{9B480A4F-DDAE-402B-BFB5-84B8A0D0824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tabs>
                        <w:tab w:val="center" w:pos="4153"/>
                        <w:tab w:val="right" w:pos="8306"/>
                      </w:tabs>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4</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38</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tabs>
                        <w:tab w:val="center" w:pos="4153"/>
                        <w:tab w:val="right" w:pos="8306"/>
                      </w:tabs>
                      <w:snapToGrid w:val="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38</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7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31CF8"/>
    <w:rsid w:val="121A330B"/>
    <w:rsid w:val="158D70DC"/>
    <w:rsid w:val="18EF488B"/>
    <w:rsid w:val="30F545DF"/>
    <w:rsid w:val="33781027"/>
    <w:rsid w:val="35CF6C0D"/>
    <w:rsid w:val="42746E7F"/>
    <w:rsid w:val="45327758"/>
    <w:rsid w:val="507C50CA"/>
    <w:rsid w:val="55704A77"/>
    <w:rsid w:val="67F94079"/>
    <w:rsid w:val="6917481D"/>
    <w:rsid w:val="74CB28DA"/>
    <w:rsid w:val="7C5B6663"/>
    <w:rsid w:val="7E73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828</Words>
  <Characters>859</Characters>
  <Lines>0</Lines>
  <Paragraphs>0</Paragraphs>
  <TotalTime>0</TotalTime>
  <ScaleCrop>false</ScaleCrop>
  <LinksUpToDate>false</LinksUpToDate>
  <CharactersWithSpaces>871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2026-06-17T01:19:00Z</dcterms:created>
  <dc:creator>阿飞</dc:creator>
  <cp:lastModifiedBy>胡娟</cp:lastModifiedBy>
  <cp:lastPrinted>2026-07-07T03:12:00Z</cp:lastPrinted>
  <dcterms:modified xsi:type="dcterms:W3CDTF">2026-07-10T03:37:28Z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0595D3FF894A42459FD6CD2EF9891D06</vt:lpwstr>
  </property>
  <property fmtid="{D5CDD505-2E9C-101B-9397-08002B2CF9AE}" pid="4" name="KSOTemplateDocerSaveRecord">
    <vt:lpwstr>eyJoZGlkIjoiYjU4OTJhMzBkN2E4NWQ5OTMwNDA4YzI5MDY5Y2FjMzEiLCJ1c2VySWQiOiIzNjIzOTQzNjkifQ==</vt:lpwstr>
  </property>
</Properties>
</file>