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黑体_GBK" w:cs="Times New Roman"/>
          <w:snapToGrid w:val="0"/>
          <w:kern w:val="0"/>
          <w:sz w:val="36"/>
          <w:szCs w:val="36"/>
          <w:shd w:val="clear" w:color="auto" w:fill="FFFFFF"/>
          <w:lang w:bidi="ar"/>
        </w:rPr>
      </w:pPr>
      <w:r>
        <w:rPr>
          <w:rFonts w:hint="eastAsia" w:ascii="Times New Roman" w:hAnsi="Times New Roman" w:eastAsia="方正黑体_GBK" w:cs="Times New Roman"/>
          <w:snapToGrid w:val="0"/>
          <w:kern w:val="0"/>
          <w:sz w:val="36"/>
          <w:szCs w:val="36"/>
          <w:shd w:val="clear" w:color="auto" w:fill="FFFFFF"/>
          <w:lang w:bidi="ar"/>
        </w:rPr>
        <w:t>附件1</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sz w:val="52"/>
          <w:szCs w:val="52"/>
        </w:rPr>
      </w:pPr>
      <w:r>
        <w:rPr>
          <w:rFonts w:hint="eastAsia" w:ascii="方正小标宋_GBK" w:hAnsi="方正小标宋_GBK" w:eastAsia="方正小标宋_GBK" w:cs="方正小标宋_GBK"/>
          <w:color w:val="000000"/>
          <w:sz w:val="52"/>
          <w:szCs w:val="52"/>
        </w:rPr>
        <w:t>神经系统类医疗服务价格项目表</w:t>
      </w:r>
    </w:p>
    <w:tbl>
      <w:tblPr>
        <w:tblStyle w:val="8"/>
        <w:tblW w:w="5025" w:type="pct"/>
        <w:jc w:val="center"/>
        <w:shd w:val="clear" w:color="auto" w:fill="FFFFFF"/>
        <w:tblLayout w:type="autofit"/>
        <w:tblCellMar>
          <w:top w:w="0" w:type="dxa"/>
          <w:left w:w="108" w:type="dxa"/>
          <w:bottom w:w="0" w:type="dxa"/>
          <w:right w:w="108" w:type="dxa"/>
        </w:tblCellMar>
      </w:tblPr>
      <w:tblGrid>
        <w:gridCol w:w="641"/>
        <w:gridCol w:w="2124"/>
        <w:gridCol w:w="1243"/>
        <w:gridCol w:w="1985"/>
        <w:gridCol w:w="3119"/>
        <w:gridCol w:w="628"/>
        <w:gridCol w:w="2904"/>
        <w:gridCol w:w="1307"/>
        <w:gridCol w:w="1307"/>
        <w:gridCol w:w="1222"/>
        <w:gridCol w:w="2103"/>
        <w:gridCol w:w="725"/>
        <w:gridCol w:w="944"/>
        <w:gridCol w:w="819"/>
      </w:tblGrid>
      <w:tr>
        <w:tblPrEx>
          <w:shd w:val="clear" w:color="auto" w:fill="FFFFFF"/>
          <w:tblCellMar>
            <w:top w:w="0" w:type="dxa"/>
            <w:left w:w="108" w:type="dxa"/>
            <w:bottom w:w="0" w:type="dxa"/>
            <w:right w:w="108" w:type="dxa"/>
          </w:tblCellMar>
        </w:tblPrEx>
        <w:trPr>
          <w:cantSplit/>
          <w:trHeight w:val="23" w:hRule="atLeast"/>
          <w:tblHeader/>
          <w:jc w:val="center"/>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序号</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项目编码</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宋体"/>
                <w:b w:val="0"/>
                <w:bCs/>
                <w:color w:val="auto"/>
                <w:kern w:val="0"/>
                <w:sz w:val="20"/>
                <w:szCs w:val="20"/>
                <w:lang w:bidi="ar"/>
              </w:rPr>
            </w:pPr>
            <w:r>
              <w:rPr>
                <w:rFonts w:hint="eastAsia" w:ascii="Times New Roman" w:hAnsi="Times New Roman" w:eastAsia="宋体" w:cs="宋体"/>
                <w:b w:val="0"/>
                <w:bCs/>
                <w:color w:val="auto"/>
                <w:kern w:val="0"/>
                <w:sz w:val="20"/>
                <w:szCs w:val="20"/>
                <w:lang w:bidi="ar"/>
              </w:rPr>
              <w:t>项目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名称</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服务产出</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价格构成</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计价单位</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计价说明</w:t>
            </w:r>
          </w:p>
        </w:tc>
        <w:tc>
          <w:tcPr>
            <w:tcW w:w="1406"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政府指导价</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hint="eastAsia" w:ascii="Times New Roman" w:hAnsi="Times New Roman" w:eastAsia="宋体" w:cs="宋体"/>
                <w:b w:val="0"/>
                <w:bCs/>
                <w:color w:val="auto"/>
                <w:kern w:val="0"/>
                <w:sz w:val="20"/>
                <w:szCs w:val="20"/>
                <w:lang w:bidi="ar"/>
              </w:rPr>
            </w:pPr>
            <w:r>
              <w:rPr>
                <w:rFonts w:hint="eastAsia" w:ascii="Times New Roman" w:hAnsi="Times New Roman" w:eastAsia="宋体" w:cs="宋体"/>
                <w:b w:val="0"/>
                <w:bCs/>
                <w:color w:val="auto"/>
                <w:kern w:val="0"/>
                <w:sz w:val="20"/>
                <w:szCs w:val="20"/>
                <w:lang w:bidi="ar"/>
              </w:rPr>
              <w:t>医保</w:t>
            </w:r>
          </w:p>
          <w:p>
            <w:pPr>
              <w:widowControl/>
              <w:snapToGrid w:val="0"/>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属性</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医保支付限制</w:t>
            </w: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归集口径</w:t>
            </w:r>
          </w:p>
        </w:tc>
      </w:tr>
      <w:tr>
        <w:tblPrEx>
          <w:shd w:val="clear" w:color="auto" w:fill="FFFFFF"/>
          <w:tblCellMar>
            <w:top w:w="0" w:type="dxa"/>
            <w:left w:w="108" w:type="dxa"/>
            <w:bottom w:w="0" w:type="dxa"/>
            <w:right w:w="108" w:type="dxa"/>
          </w:tblCellMar>
        </w:tblPrEx>
        <w:trPr>
          <w:cantSplit/>
          <w:trHeight w:val="23" w:hRule="atLeast"/>
          <w:tblHeader/>
          <w:jc w:val="center"/>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三级医院</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二级医院</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一级医院</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宋体"/>
                <w:b w:val="0"/>
                <w:bCs/>
                <w:color w:val="auto"/>
                <w:kern w:val="0"/>
                <w:sz w:val="20"/>
                <w:szCs w:val="20"/>
                <w:lang w:bidi="ar"/>
              </w:rPr>
            </w:pPr>
            <w:r>
              <w:rPr>
                <w:rFonts w:hint="eastAsia" w:ascii="Times New Roman" w:hAnsi="Times New Roman" w:eastAsia="宋体" w:cs="宋体"/>
                <w:b w:val="0"/>
                <w:bCs/>
                <w:color w:val="auto"/>
                <w:kern w:val="0"/>
                <w:sz w:val="20"/>
                <w:szCs w:val="20"/>
                <w:lang w:bidi="ar"/>
              </w:rPr>
              <w:t>其他医疗机构</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（含基层医疗机构）</w:t>
            </w: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b/>
                <w:color w:val="auto"/>
                <w:sz w:val="22"/>
                <w:szCs w:val="22"/>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b/>
                <w:color w:val="auto"/>
                <w:sz w:val="22"/>
                <w:szCs w:val="22"/>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b/>
                <w:color w:val="auto"/>
                <w:sz w:val="22"/>
                <w:szCs w:val="22"/>
              </w:rPr>
            </w:pPr>
          </w:p>
        </w:tc>
      </w:tr>
      <w:tr>
        <w:tblPrEx>
          <w:shd w:val="clear" w:color="auto" w:fill="FFFFFF"/>
          <w:tblCellMar>
            <w:top w:w="0" w:type="dxa"/>
            <w:left w:w="108" w:type="dxa"/>
            <w:bottom w:w="0" w:type="dxa"/>
            <w:right w:w="108" w:type="dxa"/>
          </w:tblCellMar>
        </w:tblPrEx>
        <w:trPr>
          <w:cantSplit/>
          <w:trHeight w:val="23" w:hRule="atLeast"/>
          <w:jc w:val="center"/>
        </w:trPr>
        <w:tc>
          <w:tcPr>
            <w:tcW w:w="4409"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left"/>
              <w:rPr>
                <w:rFonts w:ascii="Times New Roman" w:hAnsi="Times New Roman" w:eastAsia="宋体" w:cs="宋体"/>
                <w:color w:val="auto"/>
                <w:sz w:val="16"/>
                <w:szCs w:val="16"/>
              </w:rPr>
            </w:pPr>
            <w:r>
              <w:rPr>
                <w:rFonts w:hint="eastAsia" w:ascii="Times New Roman" w:hAnsi="Times New Roman" w:eastAsia="宋体" w:cs="宋体"/>
                <w:color w:val="auto"/>
                <w:kern w:val="0"/>
                <w:sz w:val="18"/>
                <w:szCs w:val="18"/>
                <w:lang w:bidi="ar"/>
              </w:rPr>
              <w:t>1.本类项目以神经系统类为重点，按照神经系统医疗服务产出设立医疗服务价格项目。</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2.根据《深化医疗服务价格改革试点方案》（医保发〔2021〕41号）</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要求，各类神经系统类项目在操作层面存在差异，但在价格项目和定价水平层面具备合并同类项的条件，立项指南对目前常用的神经系统类项目进行了合并。医疗服务的政府指导价为最高限价，下浮不限；同时，医疗机构、医务人员实施治疗过程中有关创新改良，采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现有项目兼容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的方式简化处理，无需申报新增医疗服务价格项目，经向本地区医保部门备案后可按照对应的项目执行。</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3.本类项目所称的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价格构成</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项目价格应涵盖的各类资源消耗，用于确定计价单元的边界，是医疗保障部门制定调整项目价格考虑的测算因子，不应作为临床技术标准理解，不是实际操作方式、路径、步骤、程序的强制性要求，价格构成中包含但临床实践中非必要、未发生的，无需强制要求公立医疗机构减计费用。所列</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设备投入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包括但不限于操作设备、器具及固定资产投入。</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4.本类项目所称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加收项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5.本类项目所称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扩展项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6.本类项目所称的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基本物质资源物耗</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的其他耗材，按照实际采购价格零差率销售。</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7.本类项目价格构成中所称的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穿刺</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为主项操作涉及的必要穿刺技术，价格构成中的穿刺操作不可收取相关费用；独立穿刺项目可按相应治疗价格项目收取。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8.本类项目中涉及</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包括……</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……等</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的，属于开放型表述，所指对象不仅局限于表述中列明的事项，也包括未列明的同类事项。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9.本类项目中其他学科开展相应项目时，可据实收费。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10.本类项目中的各类内镜下手术项目的价格构成，已包含手术涉及的各类内镜使用成本。医疗机构在开展相关操作时，开放手术与经内镜手术执行相同的价格标准，内镜辅助操作不再另行收费。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11.本类项目中手术项目若需病理取样，价格构成中已包含标本的留取和送检，不得按病理类医疗服务价格项目立项指南所列活检取材费计费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12.本类项目中手术类项目服务对象为儿童时，统一落实儿童加收政策（以下简称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儿童加收</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），儿童加收比例为主项目价格的20%。本类项目所称的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儿童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，指6周岁及以下，周岁的计算方法以法律的相关规定为准。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13.同台设备可完成多项检查项目时，床旁加收只能收取一次。</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6"/>
                <w:szCs w:val="16"/>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6"/>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6"/>
                <w:szCs w:val="16"/>
              </w:rPr>
            </w:pP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通过脑电图仪器采集分析脑电活动。</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所定价格涵盖设备准备、安装、记录、分析、出具报告等步骤所需的人力资源和基本物质资源消耗。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特殊电极脑电图检查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指：使用鼻咽、蝶骨、皮层特殊电极进行脑电图检查。</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特殊诱发脑电图检查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指：光、电等特殊诱发后进行脑电图检查。</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高密度脑电图</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指：128导联及以上脑电图。</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4.4个小时及以内按一次收费，4个小时以上每增加1小时加收20%。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84.9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脑电图检查费-特殊电极脑电图检查（加收）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脑电图检查费-特殊诱发脑电图检查（加收）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012401000010031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脑电图检查费-高密度脑电图检查（加收）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302.3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脑磁图检查费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eastAsia="zh-CN" w:bidi="ar"/>
              </w:rPr>
            </w:pPr>
            <w:r>
              <w:rPr>
                <w:rFonts w:hint="eastAsia" w:ascii="Times New Roman" w:hAnsi="Times New Roman" w:eastAsia="宋体" w:cs="宋体"/>
                <w:color w:val="auto"/>
                <w:kern w:val="0"/>
                <w:sz w:val="18"/>
                <w:szCs w:val="18"/>
                <w:lang w:bidi="ar"/>
              </w:rPr>
              <w:t>通过仪器采集分析脑磁图电波</w:t>
            </w:r>
            <w:r>
              <w:rPr>
                <w:rFonts w:hint="eastAsia" w:ascii="Times New Roman" w:hAnsi="Times New Roman" w:eastAsia="宋体" w:cs="宋体"/>
                <w:color w:val="auto"/>
                <w:kern w:val="0"/>
                <w:sz w:val="18"/>
                <w:szCs w:val="18"/>
                <w:lang w:eastAsia="zh-CN" w:bidi="ar"/>
              </w:rPr>
              <w:t>。</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所定价格涵盖设备准备、安装、定位、采集、记录、出具报告等步骤所需的人力资源和基本物质资源消耗。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2072.7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通过仪器采集分析静息状态或特定运动中各组肌群数据。</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所定价格涵盖设备准备、安装、采集、分析、出具报告等步骤所需的人力资源和基本物质资源消耗。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1.次指1条肌肉，每增加1条肌肉加收100%，最高收费不超过12条肌肉。</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2.震颤分析按单侧（头部左右侧、单肢）收费。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针极肌电图检查费-单纤维检查（加收）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针极肌电图检查费-震颤分析（加收）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单侧</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127.3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120.9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114.5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通过仪器对感觉神经或混合神经进行测量。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长时程运动诱发试验按次收费。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神经传导速度测定费-长时程运动诱发试验（加收）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长时程运动诱发试验按次收费。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神经传导速度测定费-寸移运动神经传导测定（加收）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神经电图费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通过仪器刺激周围神经，评定H反射、F波、瞬目反射以及重复神经电刺激等周围神经功能。</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所定价格涵盖设备准备、安装、刺激、记录、分析、出具报告等步骤所需的人力资源和基本物质资源消耗。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神经电图费-床旁（加收）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皮肤交感反应检查费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通过仪器刺激对四肢交感神经功能进行检查。</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事件相关电位费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通过采集脑诱发电位，对患者注意力、记忆力等认知功能进行评估。</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项</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val="en-US" w:eastAsia="zh-CN" w:bidi="ar"/>
              </w:rPr>
              <w:t>3项及以上的按3项收费</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115.6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105.1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99.8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脑干听觉诱发电位费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通过仪器测定主观听阈和双侧听觉诱发电位，评定听觉传导通路功能。</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不与耳鼻喉科立项指南中的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听阈检查费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脑干听觉诱发电位费-床旁（加收）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体感诱发电位费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通过刺激体感通路采集分析诱发电位。</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单肢</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体感诱发电位费-床旁（加收）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运动诱发电位费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通过刺激运动通路采集分析诱发电位。</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单肢</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睡眠神经多导监测费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重点对睡眠状态下患者脑电、肌电、心电等电生理指标进行监测，同步监测患者体动、呼吸行为和功能。</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所定价格涵盖设备准备、安装、记录、分析、出具报告等步骤所需的人力资源和基本物质资源消耗。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val="en-US" w:eastAsia="zh-CN" w:bidi="ar"/>
              </w:rPr>
              <w:t>1.不与呼吸系统类立项指南中的“睡眠呼吸监测费”同时收取。</w:t>
            </w:r>
            <w:r>
              <w:rPr>
                <w:rFonts w:hint="eastAsia" w:ascii="Times New Roman" w:hAnsi="Times New Roman" w:eastAsia="宋体" w:cs="宋体"/>
                <w:color w:val="auto"/>
                <w:kern w:val="0"/>
                <w:sz w:val="18"/>
                <w:szCs w:val="18"/>
                <w:lang w:val="en-US" w:eastAsia="zh-CN" w:bidi="ar"/>
              </w:rPr>
              <w:br w:type="textWrapping"/>
            </w:r>
            <w:r>
              <w:rPr>
                <w:rFonts w:hint="eastAsia" w:ascii="Times New Roman" w:hAnsi="Times New Roman" w:eastAsia="宋体" w:cs="宋体"/>
                <w:color w:val="auto"/>
                <w:kern w:val="0"/>
                <w:sz w:val="18"/>
                <w:szCs w:val="18"/>
                <w:lang w:val="en-US" w:eastAsia="zh-CN" w:bidi="ar"/>
              </w:rPr>
              <w:t>2.睡眠神经多导监测费-便携睡眠神经多导监测按60%收费。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eastAsia="zh-CN"/>
              </w:rPr>
            </w:pPr>
            <w:r>
              <w:rPr>
                <w:rFonts w:hint="eastAsia" w:ascii="Times New Roman" w:hAnsi="Times New Roman" w:eastAsia="宋体" w:cs="宋体"/>
                <w:i w:val="0"/>
                <w:iCs w:val="0"/>
                <w:color w:val="auto"/>
                <w:kern w:val="0"/>
                <w:sz w:val="16"/>
                <w:szCs w:val="16"/>
                <w:u w:val="none"/>
                <w:lang w:val="en-US" w:eastAsia="zh-CN" w:bidi="ar"/>
              </w:rPr>
              <w:t>550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eastAsia="zh-CN"/>
              </w:rPr>
            </w:pPr>
            <w:r>
              <w:rPr>
                <w:rFonts w:hint="eastAsia" w:ascii="Times New Roman" w:hAnsi="Times New Roman" w:eastAsia="宋体" w:cs="宋体"/>
                <w:i w:val="0"/>
                <w:iCs w:val="0"/>
                <w:color w:val="auto"/>
                <w:kern w:val="0"/>
                <w:sz w:val="16"/>
                <w:szCs w:val="16"/>
                <w:u w:val="none"/>
                <w:lang w:val="en-US" w:eastAsia="zh-CN" w:bidi="ar"/>
              </w:rPr>
              <w:t>500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eastAsia="zh-CN"/>
              </w:rPr>
            </w:pPr>
            <w:r>
              <w:rPr>
                <w:rFonts w:hint="eastAsia" w:ascii="Times New Roman" w:hAnsi="Times New Roman" w:eastAsia="宋体" w:cs="宋体"/>
                <w:i w:val="0"/>
                <w:iCs w:val="0"/>
                <w:color w:val="auto"/>
                <w:kern w:val="0"/>
                <w:sz w:val="16"/>
                <w:szCs w:val="16"/>
                <w:u w:val="none"/>
                <w:lang w:val="en-US" w:eastAsia="zh-CN" w:bidi="ar"/>
              </w:rPr>
              <w:t>475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rPr>
            </w:pPr>
            <w:r>
              <w:rPr>
                <w:rFonts w:hint="eastAsia" w:ascii="Times New Roman" w:hAnsi="Times New Roman" w:eastAsia="宋体" w:cs="宋体"/>
                <w:i w:val="0"/>
                <w:iCs w:val="0"/>
                <w:color w:val="auto"/>
                <w:kern w:val="0"/>
                <w:sz w:val="16"/>
                <w:szCs w:val="16"/>
                <w:u w:val="none"/>
                <w:lang w:val="en-US" w:eastAsia="zh-CN" w:bidi="ar"/>
              </w:rPr>
              <w:t>450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睡眠神经多导监测费-便携睡眠神经多导监测（减收）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颅内压监测费（有创）</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通过有创方式监测颅内压变化。</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所定价格涵盖摆位、设备准备、安装、监测、记录、分析等步骤所需的人力资源和基本物质资源消耗。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小时</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颅内压监测费（无创）</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通过无创方式监测颅内压变化。</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所定价格涵盖摆位、设备准备、安装、监测、记录、分析等步骤所需的人力资源和基本物质资源消耗。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小时</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rPr>
            </w:pPr>
            <w:r>
              <w:rPr>
                <w:rFonts w:hint="eastAsia" w:ascii="Times New Roman" w:hAnsi="Times New Roman" w:eastAsia="宋体" w:cs="宋体"/>
                <w:i w:val="0"/>
                <w:iCs w:val="0"/>
                <w:color w:val="auto"/>
                <w:kern w:val="0"/>
                <w:sz w:val="16"/>
                <w:szCs w:val="16"/>
                <w:u w:val="none"/>
                <w:lang w:val="en-US" w:eastAsia="zh-CN" w:bidi="ar"/>
              </w:rPr>
              <w:t>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rPr>
            </w:pPr>
            <w:r>
              <w:rPr>
                <w:rFonts w:hint="eastAsia" w:ascii="Times New Roman" w:hAnsi="Times New Roman" w:eastAsia="宋体" w:cs="宋体"/>
                <w:i w:val="0"/>
                <w:iCs w:val="0"/>
                <w:color w:val="auto"/>
                <w:kern w:val="0"/>
                <w:sz w:val="16"/>
                <w:szCs w:val="16"/>
                <w:u w:val="none"/>
                <w:lang w:val="en-US" w:eastAsia="zh-CN" w:bidi="ar"/>
              </w:rPr>
              <w:t>5.2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eastAsia="zh-CN" w:bidi="ar"/>
              </w:rPr>
              <w:t>甲</w:t>
            </w:r>
            <w:r>
              <w:rPr>
                <w:rFonts w:hint="eastAsia" w:ascii="Times New Roman" w:hAnsi="Times New Roman" w:eastAsia="宋体" w:cs="宋体"/>
                <w:color w:val="auto"/>
                <w:kern w:val="0"/>
                <w:sz w:val="18"/>
                <w:szCs w:val="16"/>
                <w:lang w:bidi="ar"/>
              </w:rPr>
              <w:t>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脑血管造影费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通过介入方式对脑血管进行造影检查。</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所定价格涵盖手术计划、术区准备、消毒铺巾、建立通路、脑血管造影、撤除、闭合血管通路等步骤所需的人力资源和基本物质资源消耗。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次指3根及以下血管，超过3根血管，每增加1根血管加收20%。</w:t>
            </w:r>
            <w:r>
              <w:rPr>
                <w:rFonts w:hint="eastAsia" w:ascii="Times New Roman" w:hAnsi="Times New Roman" w:eastAsia="宋体" w:cs="宋体"/>
                <w:color w:val="auto"/>
                <w:kern w:val="0"/>
                <w:sz w:val="18"/>
                <w:szCs w:val="18"/>
                <w:lang w:val="en-US" w:eastAsia="zh-CN" w:bidi="ar"/>
              </w:rPr>
              <w:t>8根及以上血管按</w:t>
            </w:r>
            <w:r>
              <w:rPr>
                <w:rFonts w:hint="eastAsia" w:ascii="Times New Roman" w:hAnsi="Times New Roman" w:eastAsia="宋体" w:cs="宋体"/>
                <w:color w:val="auto"/>
                <w:kern w:val="0"/>
                <w:sz w:val="18"/>
                <w:szCs w:val="18"/>
                <w:lang w:bidi="ar"/>
              </w:rPr>
              <w:t>8根血管</w:t>
            </w:r>
            <w:r>
              <w:rPr>
                <w:rFonts w:hint="eastAsia" w:ascii="Times New Roman" w:hAnsi="Times New Roman" w:eastAsia="宋体" w:cs="宋体"/>
                <w:color w:val="auto"/>
                <w:kern w:val="0"/>
                <w:sz w:val="18"/>
                <w:szCs w:val="18"/>
                <w:lang w:eastAsia="zh-CN" w:bidi="ar"/>
              </w:rPr>
              <w:t>收费</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1838.2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1746.3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1654.4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脊髓血管造影费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通过介入方式对脊髓血管进行造影检查。</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所定价格涵盖手术计划、术区准备、消毒铺巾、建立通路、脊髓血管造影、撤除、闭合血管通路等步骤所需的人力资源和基本物质资源消耗。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次指4根及以下血管，超过4根血管，每增加1根血管加收20%。</w:t>
            </w:r>
            <w:r>
              <w:rPr>
                <w:rFonts w:hint="eastAsia" w:ascii="Times New Roman" w:hAnsi="Times New Roman" w:eastAsia="宋体" w:cs="宋体"/>
                <w:color w:val="auto"/>
                <w:kern w:val="0"/>
                <w:sz w:val="18"/>
                <w:szCs w:val="18"/>
                <w:lang w:val="en-US" w:eastAsia="zh-CN" w:bidi="ar"/>
              </w:rPr>
              <w:t>12根及以上血管的按</w:t>
            </w:r>
            <w:r>
              <w:rPr>
                <w:rFonts w:hint="eastAsia" w:ascii="Times New Roman" w:hAnsi="Times New Roman" w:eastAsia="宋体" w:cs="宋体"/>
                <w:color w:val="auto"/>
                <w:kern w:val="0"/>
                <w:sz w:val="18"/>
                <w:szCs w:val="18"/>
                <w:lang w:bidi="ar"/>
              </w:rPr>
              <w:t>12根血管</w:t>
            </w:r>
            <w:r>
              <w:rPr>
                <w:rFonts w:hint="eastAsia" w:ascii="Times New Roman" w:hAnsi="Times New Roman" w:eastAsia="宋体" w:cs="宋体"/>
                <w:color w:val="auto"/>
                <w:kern w:val="0"/>
                <w:sz w:val="18"/>
                <w:szCs w:val="18"/>
                <w:lang w:eastAsia="zh-CN" w:bidi="ar"/>
              </w:rPr>
              <w:t>收费</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2494.8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2268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2154.6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2041.2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无创神经刺激治疗费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通过仪器经颅电/磁刺激神经系统的相关部位。</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所定价格涵盖连接电极、设置参数、电/磁刺激治疗等步骤所需的人力资源和基本物质资源消耗。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67.9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脑血管球囊扩张费（介入）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通过球囊扩张脑血管。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所定价格涵盖手术计划、术区准备、消毒铺巾、建立通路、球囊扩张、撤除、闭合通路，必要时造影确认治疗效果等步骤所需的人力资源和基本物质资源消耗。不含脑血管造影费用。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1.原则上以经一根血管的介入治疗为起点，每增加一根血管的治疗按该项目各级医疗机构收费标准的20%收取。同一血管扩张颅内和颅外多处狭窄的按2根血管计价，颅内部分适用颅内血管加收。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2.脑静脉窦扩张适用颅内血管加收。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3.脑血管治疗后立即行造影确认治疗效果的，不得重复收取脑血管造影费用。</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2813.4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2557.6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2429.7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2301.8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脑血管球囊扩张费（介入）-儿童（加收）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511.5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485.9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460.4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013302000030011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脑血管球囊扩张费（介入）-颅内血管（加收）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511.5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485.9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460.4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脑血管支架置入费（介入）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通过支架扩张脑血管。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所定价格涵盖手术计划、术区准备、消毒铺巾、建立通路、支架置入、撤除、闭合通路，必要时球囊扩张及造影确认治疗效果等步骤所需的人力资源和基本物质资源消耗。不含脑血管造影费用。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1.原则上以经一根血管的介入治疗为起点，每增加一根血管的治疗按该项目各级医疗机构收费标准的20%收取。同一血管扩张颅内和颅外多处狭窄的按2根血管计价，颅内部分适用颅内血管加收。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2.同一病变部位不与球囊扩张同时收取。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3.脑静脉窦支架置入适用颅内血管加收。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4.脑血管治疗后立即行造影确认治疗效果的，不得重复收取脑血管造影费用。</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3407.4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3097.6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2942.7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2787.8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脑血管支架置入费（介入）-儿童（加收）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681.5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619.5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588.5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013302000040011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脑血管支架置入费（介入）-颅内血管（加收）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681.5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619.5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588.5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慢性闭塞脑血管逆向再通费（介入）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通过血管闭塞端近段及远端两端操作开通血管。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所定价格涵盖手术计划、导管送至闭塞段远端、连通闭塞段两端的血管腔、闭合通路，必要时造影确认治疗效果等步骤所需的人力资源和基本物质资源消耗。不含脑血管造影费用。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3277.5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慢性闭塞脑血管逆向再通费（介入）-儿童（加收）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013302000050011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慢性闭塞脑血管逆向再通费（介入）-颅内血管（加收）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517.5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465.8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脑血管腔内减容费（介入）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通过激光、旋切、旋磨、振波、血栓抽吸等各种物理或机械方式消除脑血管腔内斑块或血栓。</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所定价格涵盖手术计划、术区准备、消毒铺巾、建立通路、通过各种方式消除斑块、撤除、闭合通路，必要时造影确认治疗效果等步骤所需的人力资源和基本物质资源消耗。不含脑血管造影费用。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3022.7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脑血管腔内减容费（介入）-儿童（加收）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636.4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604.5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脑血管腔内溶栓费（介入）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通过介入方式对脑部栓塞的血管进行药物溶栓、疏通治疗。</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2406.8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2188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2078.6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1969.2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脑血管腔内溶栓费（介入）-儿童（加收）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481.4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415.7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393.8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013302000070100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脑血管腔内溶栓费（介入）-脑血管腔内化疗费（扩展）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2406.8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2188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2078.6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1969.2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脑血管栓塞费（介入）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通过介入方式将栓塞物质导入脑血管。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所定价格涵盖完成手术计划、术区准备、消毒铺巾、建立通路、穿刺置管、填塞、撤出、闭合通路，必要时造影确认治疗效果等步骤所需的人力资源和基本物质资源消耗。不含脑血管造影费用。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2970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2821.5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脑血管栓塞费（介入）-儿童（加收）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013302000080011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脑血管栓塞费（介入）-脑血管畸形栓塞（加收）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颅内动脉瘤栓塞费（介入）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通过介入方式将栓塞物质导入颅内动脉瘤。</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所定价格涵盖完成手术计划、术区准备、消毒铺巾、建立通路、穿刺置管、填塞、撤出、闭合通路，必要时造影确认治疗效果等步骤所需的人力资源和基本物质资源消耗。不含脑血管造影费用。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2821.5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2565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2436.8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2308.5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颅内动脉瘤栓塞费（介入）-儿童（加收）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487.4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461.7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脊髓血管栓塞费（介入）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通过介入方式将栓塞物质导入脊髓血管。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3540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3057.3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2896.4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脊髓血管栓塞费（介入）-儿童（加收）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579.3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013302000100011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脊髓血管栓塞费（介入）-脊髓血管畸形栓塞（加收）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579.3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颅内电极置入费（表面电极）</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将电极和（或）电刺激器等各类信号传导装置临时或永久置入患者颅内。</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表面电极</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指：不侵入脑实质组织的脑皮层表面或硬膜表面电极。</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3247.3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3076.4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颅内电极置入费（表面电极）-儿童（加收）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649.5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615.3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颅内电极置入费（深部电极）</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将电极和（或）电刺激器等各类信号传导装置临时或永久置入患者颅内。</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深部电极</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指：侵入脑实质组织的电极。</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2.次指置入3个及3个以内电极，超过3个电极，每增加1个电极加收15%。</w:t>
            </w:r>
            <w:r>
              <w:rPr>
                <w:rFonts w:hint="eastAsia" w:ascii="Times New Roman" w:hAnsi="Times New Roman" w:eastAsia="宋体" w:cs="宋体"/>
                <w:color w:val="auto"/>
                <w:kern w:val="0"/>
                <w:sz w:val="18"/>
                <w:szCs w:val="18"/>
                <w:lang w:val="en-US" w:eastAsia="zh-CN" w:bidi="ar"/>
              </w:rPr>
              <w:t>8个及以上电极置入按</w:t>
            </w:r>
            <w:r>
              <w:rPr>
                <w:rFonts w:hint="eastAsia" w:ascii="Times New Roman" w:hAnsi="Times New Roman" w:eastAsia="宋体" w:cs="宋体"/>
                <w:color w:val="auto"/>
                <w:kern w:val="0"/>
                <w:sz w:val="18"/>
                <w:szCs w:val="18"/>
                <w:lang w:bidi="ar"/>
              </w:rPr>
              <w:t>8个电极置入</w:t>
            </w:r>
            <w:r>
              <w:rPr>
                <w:rFonts w:hint="eastAsia" w:ascii="Times New Roman" w:hAnsi="Times New Roman" w:eastAsia="宋体" w:cs="宋体"/>
                <w:color w:val="auto"/>
                <w:kern w:val="0"/>
                <w:sz w:val="18"/>
                <w:szCs w:val="18"/>
                <w:lang w:eastAsia="zh-CN" w:bidi="ar"/>
              </w:rPr>
              <w:t>收费</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4180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3610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颅内电极置入费（深部电极）-儿童（加收）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836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通过各种方式将置入脑内的电极/电刺激器取出。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颅内电极更换电池按50%收取。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2166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2052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501.6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433.2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410.4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通过将脑机接口系统置入大脑皮层或特定神经区域，实时采集神经信号，实现大脑与外部设备的信息交互。</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所定价格涵盖手术计划、术区准备、消毒铺巾、定位、穿刺或切开、脑电极置入、参数调整、信号调试与验证、固定及缝合等步骤所需的人力资源和基本物质资源消耗。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5613.6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1122.7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通过手术方式将已置入大脑皮层或特定神经区域的脑机接口系统取出。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所定价格涵盖手术计划、术区准备、消毒铺巾、定位、穿刺或切开、脑电极取出、信号接口断连、创面修复、固定缝合等步骤所需的人力资源和基本物质资源消耗。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2677.3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2536.4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非侵入式脑机接口适配费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通过外部放置的电极采集脑电信号，进行脑机接口系统的调试和功能监测。</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所定价格涵盖设备准备、外部电极放置与调整、信号采集与实时监控、算法调试、功能验证、数据分析及系统优化等步骤所需的人力资源和基本物质资源消耗。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872.7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829.1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将电极和（或）电刺激器等各类信号传导装置临时或永久置入患者脊髓。</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指：硬膜外、硬膜下、脊髓表面、脊髓内和椎管内神经根。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3982.8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3620.7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3439.7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3258.6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724.1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687.9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651.7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通过各种方式将置入脊髓的电极电刺激器取出。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将电极和（或）电刺激器等各类信号传导装置临时或永久置入患者周围神经。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周围神经电极取出费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863.6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172.7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周围神经电极置入费-迷走神经刺激器置入（扩展）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863.6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013302000161100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周围神经电极置入费-骶神经刺激装置永久置入（扩展）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863.6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通过各种方式将置入周围神经的电极/电刺激器取出。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454.6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431.8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409.1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神经电生理定位监测费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通过已置入和（或）贴附的电极等监测装置，实时定位和（或）监测术中神经功能状态。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所定价格涵盖刺激、定位、监测等步骤所需的人力资源和基本物质资源消耗。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小时</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颅内探查费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通过手术探查颅内情况。</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所定价格涵盖手术计划、术区准备、消毒铺巾、开颅、探查、关颅、缝合、处理手术用具等步骤所需的人力资源和基本物质资源消耗。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不与同部位其他手术同时收取。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1059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962.7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914.6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颅内探查费-儿童（加收）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211.8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182.9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173.3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通过对硬膜外/硬膜下/脊膜外穿刺、置管引流。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所定价格涵盖定位、消毒铺巾、钻孔或切皮钻孔、穿刺、排液、固定、置管引流、缝合等步骤所需的人力资源和基本物质资源消耗。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1.颅脑穿刺引流按每钻孔计为一次。</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2.腰大池穿刺引流按每脊柱节段计为一次。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1646.6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1496.9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1422.1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1347.2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颅脑穿刺引流费-脑内穿刺引流（加收）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269.4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269.4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颅脑穿刺引流费-腰大池穿刺引流（扩展）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1646.6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1496.9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1422.1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1347.2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脑脊液置换费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通过引流脑脊液，并注射无菌生理盐水、人工脑脊液等，对脑脊液进行置换。</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所定价格涵盖手术计划、术区准备、消毒铺巾、穿刺、引流、注射无菌生理盐水或人工脑脊液等步骤所需的人力资源和基本物质资源消耗。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593.8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脑脊液置换费-儿童（加收）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118.8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通过各种方式在颅内或椎管内置入储液装置及管路，并于皮下置入储液囊。</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所定价格涵盖定位、切开、置入脑脊液储液装置、缝合等步骤所需的人力资源和基本物质资源消耗。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1.储液装置包含药物泵。</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2.通过储液装置穿刺向颅内注射药物参照一般治疗中注射项目收费。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颅内储液装置取出费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1068.8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通过各种方式将置入的储液装置及管路取出。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618.8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506.3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123.8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颅内储液装置换管费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通过各种方式更换置入的储液装置及管路。</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所定价格涵盖手术计划、术区准备、消毒铺巾、切开、更换、缝合等步骤所需的人力资源和基本物质资源消耗。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颅内储液装置置入费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颅内储液装置取出费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1068.8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颅内储液装置换管费-儿童（加收）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开颅颅内减压费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通过手术去除部分颅骨、脑组织或其他病变部位，降低颅内压。</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所定价格涵盖手术计划、术区准备、消毒铺巾、开颅、减压处理、缝合等步骤所需的人力资源和基本物质资源消耗。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2543.6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2312.4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2196.8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2081.2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开颅颅内减压费-儿童（加收）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508.7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439.4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416.2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通过去除、离断、毁损等手术方式治疗颅内病变。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4297.3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3906.6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3711.3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3515.9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781.3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742.3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703.2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通过去除、离断、毁损等手术方式治疗复杂颅内病变。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指：幕下病变、累及重要血管（浅部及深部动静脉、静脉窦）、累及功能区、血管病变、多个病灶切除、病变最大径大于30mm、病变弥散。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5240.6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4764.2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4526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4287.8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1048.1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952.8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905.2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通过手术切除或清除颅底病变。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4832.5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4393.2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4173.5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3953.9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966.5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878.6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834.7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通过手术切除或清除颅底的复杂病变。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指：病变累及硬膜内的脑与神经结构、累及重要的脑血管（浅部及深部动静脉、静脉窦）、血管病变、多个病灶切除、病变最大径大于30mm、病变弥散。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5112.1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4647.4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4182.7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1022.4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929.5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883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836.5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颅骨病变切除费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通过手术切除异常增殖的颅骨组织，修复颅骨结构。</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所定价格涵盖手术计划、术区准备、消毒铺巾、开颅、增殖骨切除、颅骨重塑、闭合切口等步骤所需的人力资源和基本物质资源消耗。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颅骨修复费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颅骨重建费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1198.3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1089.4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1034.9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980.5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颅骨病变切除费-儿童（加收）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239.7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217.9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颅骨修复费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通过手术修复外伤、畸形、感染等多种情况导致的颅骨缺损。</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所定价格涵盖手术计划、术区准备、消毒铺巾、切开、修复、缝合等步骤所需的人力资源和基本物质资源消耗。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颅骨病变切除费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颅骨重建费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1737.3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1579.4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1500.4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颅骨修复费-儿童（加收）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315.9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颅骨重建费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通过手术重建颅骨形态。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所定价格涵盖手术计划、术区准备、消毒铺巾、颅骨重建等步骤所需的人力资源和基本物质资源消耗。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颅骨病变切除费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颅骨修复费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颅骨重建费-儿童（加收）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颅底重建费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通过手术借助自体组织或人工支撑结构修补破损硬膜替代缺损骨质，重建颅底结构。</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所定价格涵盖手术计划、术区准备、消毒铺巾、开颅、颅底重建、关颅等步骤所需的人力资源和基本物质资源消耗。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3405.1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3095.5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2940.7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2786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颅底重建费-儿童（加收）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588.1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013302000320100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颅底重建费-脑脊液漏修补（扩展）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3405.1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3095.5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2940.7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2786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通过手术对脑室的梗阻、积液、出血等情形进行开窗造瘘。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所定价格涵盖手术计划、术区准备、消毒铺巾、开颅、造瘘、关颅等步骤所需的人力资源和基本物质资源消耗。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2756.1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2380.2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551.2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501.1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脑室造瘘费-终板造瘘（扩展）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2756.1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2380.2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013302000331100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脑室造瘘费-透明隔造瘘（扩展）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2756.1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2380.2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脑脊膜膨出修补费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通过手术修补脑脊膜膨出、脑组织膨出、脊髓组织膨出及周围神经根膨出等各种类型的脑脊膜膨出症。</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所定价格涵盖手术计划、术区准备、消毒铺巾、切开、探查定位、脑脊膜修补、缝合等步骤所需的人力资源和基本物质资源消耗。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2204.7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2004.3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1904.1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1803.9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脑脊膜膨出修补费-儿童（加收）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440.9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400.9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380.8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通过手术夹闭、包裹动脉瘤，并成形或孤立。</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所定价格涵盖手术计划、术区准备、消毒铺巾、开颅、夹闭、包裹、成形、关颅等步骤所需的人力资源和基本物质资源消耗。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1.次指1个动脉瘤，每增加1个动脉瘤加收500元。</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2.大型动脉瘤指最大径15mm以上。</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4752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4104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3888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950.4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820.8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颅内动脉瘤夹闭成形费-大型动脉瘤（加收）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颅内动脉瘤夹闭成形费-破裂动脉瘤（加收）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950.4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820.8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颅内外动脉搭桥费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通过颅内外血管建立通路。</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所定价格涵盖手术计划、术区准备、消毒铺巾、开颅、颅内外动脉暴露、搭桥、关颅等步骤所需的人力资源和基本物质资源消耗。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次指1条血管，每增加1条血管加收50%。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3939.3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3581.2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3402.1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3223.1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颅内外动脉搭桥费-儿童（加收）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787.9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716.2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680.4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013302000360011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颅内外动脉搭桥费-移植血管搭桥（加收）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1969.7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1790.6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1701.1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1611.5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颅内血管重建费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通过自体血管或人工血管重建颅内血管。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所定价格涵盖手术计划、术区准备、消毒铺巾、开颅、颅内血管重建、关颅等步骤所需的人力资源和基本物质资源消耗。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5841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5310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5044.5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4779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颅内血管重建费-儿童（加收）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1168.2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1008.9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955.8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脑脊液分流调控费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通过体外控制装置调整分流管阀门压力参数。</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所定价格涵盖连接设备、仪器参数调试、数据获取、检测分析等步骤所需的人力资源和基本物质资源消耗。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129.5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通过各种方式置入脑脊液分流装置。</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所定价格涵盖手术计划、术区准备、消毒铺巾、定位、切开、穿刺、置管，引流、固定、缝合等步骤所需的人力资源和基本物资消耗。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脑脊液分流装置取出费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2127.5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1934.1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1837.4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1740.7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425.5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386.8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348.1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013302000380100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脑脊液分流装置置入费-腰大池腹腔分流（扩展）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2127.5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1934.1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1837.4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1740.7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通过各种方式将置入的分流装置取出。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696.3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170.2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154.7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139.3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通过各种方式置入颅内压监测探头。</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所定价格涵盖手术计划、术区准备、消毒铺巾、开颅、置入探头、固定、关颅等步骤所需的人力资源和基本物质资源消耗。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颅内压监测探头取出费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822.8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748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710.6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673.2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164.6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149.6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通过各种方式将置入的颅内压监测探头取出。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493.7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448.8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426.4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98.7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89.8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神经刺激器适配费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对已置入的神经刺激器进行程控测试。</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所定价格涵盖装置连接、数据读取分析、参数调整、功能优化、安全性检查等步骤所需的人力资源和基本物资消耗。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椎管内切开引流费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通过手术切开椎管内脓肿、血肿等进行引流。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所定价格涵盖手术计划、术区准备、消毒铺巾、定位、切开椎管、引流、固定、缝合等步骤所需的人力资源和基本物质资源消耗。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2018.8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椎管内切开引流费-儿童（加收）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403.8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脊髓内引流费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通过手术引流脊髓内积液。</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所定价格涵盖手术计划、术区准备、消毒铺巾、定位、切开或穿刺椎管至髓内、引流、固定、缝合等步骤所需的人力资源和基本物质资源消耗。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脊髓内引流费-儿童（加收）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427.5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通过手术切除脊髓内病变。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4374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3976.4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3777.6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3578.8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874.8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795.3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715.8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通过手术切除脊髓内复杂病变。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指：病变范围大于一个椎体长度、远离脊髓表面或位于脊髓前方、血管病变、多个病灶切除、病变弥散。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4974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4521.8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4295.7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4069.6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994.8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904.4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859.1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通过手术切除脊髓外病变。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3189.8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2899.8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2754.8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2609.8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638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通过手术切除脊髓外复杂病变。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指：病变范围大于两个椎体长度、位于椎管前方、血管性病变、椎管内外沟通、病变弥散。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3739.8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3399.8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3229.8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3059.8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646</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颈动脉内/外膜剥脱费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通过手术切除颈动脉内膜或外膜。</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所定价格涵盖手术计划、术区准备、消毒铺巾、颈部血管暴露、颈动脉内/外膜剥脱、缝合、关闭，必要时修补等步骤所需的人力资源和基本物质资源消耗。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3924.4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3567.6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3389.2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3210.8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颈动脉内/外膜剥脱费-儿童（加收）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784.9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677.8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642.2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椎动脉内/外膜剥脱费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通过手术切除椎动脉内膜或外膜。</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所定价格涵盖手术计划、术区准备、消毒铺巾、椎动脉暴露、椎动脉内/外膜剥脱、缝合、关闭，必要时修补等步骤所需的人力资源和基本物质资源消耗。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3415.5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3105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2949.8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2794.5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椎动脉内/外膜剥脱费-儿童（加收）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683.1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558.9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颞肌颞浅动脉贴敷费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通过颅外血供丰富的肌肉等组织，帖敷于脑组织表面。</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所定价格涵盖手术计划、术区准备、消毒铺巾、开颅、颞肌颞浅动脉贴敷、关颅等步骤所需的人力资源和基本物质资源消耗。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2970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2821.5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颞肌颞浅动脉贴敷费-儿童（加收）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颈部动脉结扎费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通过手术结扎颈部动脉。</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所定价格涵盖手术计划、术区准备、消毒铺巾、定位、颈部动脉结扎、缝合等步骤所需的人力资源和基本物质资源消耗。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1444.3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1313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1247.4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1181.7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颈部动脉结扎费-儿童（加收）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288.9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262.6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249.5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236.3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神经阻滞治疗费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通过物理压迫或化学毁损的方式阻断神经传递信号。</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所定价格涵盖术区准备、定位、消毒铺巾、压迫、注药、观察、记录等步骤所需的人力资源和基本物质资源消耗。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神经阻滞治疗费-三叉神经节（加收）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501.4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455.8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410.2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通过手术全部或部分切除颅神经。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所定价格涵盖手术计划、术区准备、消毒铺巾、定位、开颅、探查、神经切断、关颅等步骤所需的人力资源和基本物质资源消耗。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指：位于颅内和颅底、眼眶、颈深部的十二对颅神经部分。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3603.9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3276.3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3112.5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2948.7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655.3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589.7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脊髓及脊神经切断费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通过手术切断部分脊髓和（或）脊神经。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所定价格涵盖手术计划、术区准备、消毒铺巾、定位、切开、探查、神经切断、缝合等步骤所需的人力资源和基本物质资源消耗。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脊髓及脊神经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指：位于椎管内及椎间孔周围的脊神经部分。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3669.5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3335.9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3169.1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3002.3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脊髓及脊神经切断费-儿童（加收）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733.9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667.2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633.8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通过手术全部或部分切除内脏神经。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所定价格涵盖手术计划、术区准备、消毒铺巾、定位、切开、探查、神经切断、缝合等步骤所需的人力资源和基本物质资源消耗。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内脏神经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指：分布在胸腔、腹腔及盆腔脏器的神经。</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4042.5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3675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3491.3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3307.5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808.5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698.3</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通过手术全部或部分切除周围神经。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所定价格涵盖手术计划、术区准备、消毒铺巾、定位、切开、探查、神经切断、缝合等步骤所需的人力资源和基本物质资源消耗。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周围神经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指：位于头面部、躯干及四肢的颅神经和脊神经主干或分支。</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1630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1407.7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1333.6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2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266.7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2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2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通过手术松解颅神经粘连。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所定价格涵盖手术计划、术区准备、消毒铺巾、定位、开颅、松解及梳理、关颅等步骤所需的人力资源和基本物质资源消耗。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指：位于颅内和颅底、眼眶、颈深部的十二对颅神经部分。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3985.3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3623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3441.9</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3260.7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797.1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724.6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688.4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652.1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脊髓及神经根松解费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通过手术松解脊髓及神经根粘连。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所定价格涵盖手术计划、术区准备、消毒铺巾、定位、切开、松解及梳理、缝合等步骤所需的人力资源和基本物质资源消耗。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脊髓及脊神经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指：位于椎管内及椎间孔周围的脊神经部分。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2624.1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2266.2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2147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脊髓及神经根松解费-儿童（加收）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477.1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453.2</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429.4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通过手术松解内脏神经粘连。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所定价格涵盖手术计划、术区准备、消毒铺巾、定位、切开、松解及梳理、缝合等步骤所需的人力资源和基本物质资源消耗。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内脏神经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指：分布在胸腔、腹腔及盆腔脏器的神经。</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2850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2700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570</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540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通过手术松解周围神经粘连。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所定价格涵盖手术计划、术区准备、消毒铺巾、定位、切开、松解及梳理、缝合等步骤所需的人力资源和基本物质资源消耗。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周围神经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指：位于头面部、躯干的颅神经和脊神经主干或分支。</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3.肢体神经松解按照骨骼肌肉系统类立项指南中的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肢体神经松解费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1582.5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1503.4</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1424.3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348.2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316.5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300.7</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颅神经修复吻合费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通过手术将颅神经断端与自身或其它神经吻合。</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所定价格涵盖手术计划、术区准备、消毒铺巾、定位、开颅、颅神经探查、吻合、关颅等步骤所需的人力资源和基本物质资源消耗。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2222.1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2020.1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1919.1</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1818.1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颅神经修复吻合费-儿童（加收）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444.4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383.8</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tblCellMar>
            <w:top w:w="0" w:type="dxa"/>
            <w:left w:w="108" w:type="dxa"/>
            <w:bottom w:w="0" w:type="dxa"/>
            <w:right w:w="108" w:type="dxa"/>
          </w:tblCellMar>
        </w:tblPrEx>
        <w:trPr>
          <w:cantSplit/>
          <w:trHeight w:val="23" w:hRule="atLeast"/>
          <w:jc w:val="center"/>
        </w:trPr>
        <w:tc>
          <w:tcPr>
            <w:tcW w:w="1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周围神经修复吻合费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通过手术将周围神经断端与自身或其它神经吻合。</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所定价格涵盖手术计划、术区准备、消毒铺巾、切开、周围神经探查、吻合、缝合等步骤所需的人力资源和基本物质资源消耗。</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1890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1795.5</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1701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tblCellMar>
            <w:top w:w="0" w:type="dxa"/>
            <w:left w:w="108" w:type="dxa"/>
            <w:bottom w:w="0" w:type="dxa"/>
            <w:right w:w="108" w:type="dxa"/>
          </w:tblCellMar>
        </w:tblPrEx>
        <w:trPr>
          <w:cantSplit/>
          <w:trHeight w:val="103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color w:val="auto"/>
                <w:kern w:val="0"/>
                <w:sz w:val="18"/>
                <w:szCs w:val="16"/>
                <w:lang w:bidi="ar"/>
              </w:rPr>
            </w:pPr>
            <w:r>
              <w:rPr>
                <w:rFonts w:hint="eastAsia" w:ascii="Times New Roman" w:hAnsi="Times New Roman" w:eastAsia="宋体" w:cs="宋体"/>
                <w:color w:val="auto"/>
                <w:kern w:val="0"/>
                <w:sz w:val="18"/>
                <w:szCs w:val="16"/>
                <w:lang w:bidi="ar"/>
              </w:rPr>
              <w:t>175</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color w:val="auto"/>
                <w:kern w:val="0"/>
                <w:sz w:val="18"/>
                <w:szCs w:val="16"/>
                <w:lang w:bidi="ar"/>
              </w:rPr>
            </w:pPr>
            <w:r>
              <w:rPr>
                <w:rFonts w:hint="eastAsia" w:ascii="Times New Roman" w:hAnsi="Times New Roman" w:eastAsia="宋体" w:cs="宋体"/>
                <w:color w:val="auto"/>
                <w:kern w:val="0"/>
                <w:sz w:val="18"/>
                <w:szCs w:val="16"/>
                <w:lang w:bidi="ar"/>
              </w:rPr>
              <w:t>013302000610001</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周围神经修复吻合费-儿童（加收）</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2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iCs w:val="0"/>
                <w:color w:val="auto"/>
                <w:kern w:val="0"/>
                <w:sz w:val="16"/>
                <w:szCs w:val="16"/>
                <w:u w:val="none"/>
                <w:lang w:val="en-US" w:eastAsia="zh-CN" w:bidi="ar"/>
              </w:rPr>
            </w:pPr>
            <w:r>
              <w:rPr>
                <w:rFonts w:hint="eastAsia" w:ascii="Times New Roman" w:hAnsi="Times New Roman" w:eastAsia="宋体" w:cs="宋体"/>
                <w:i w:val="0"/>
                <w:iCs w:val="0"/>
                <w:color w:val="auto"/>
                <w:kern w:val="0"/>
                <w:sz w:val="16"/>
                <w:szCs w:val="16"/>
                <w:u w:val="none"/>
                <w:lang w:val="en-US" w:eastAsia="zh-CN" w:bidi="ar"/>
              </w:rPr>
              <w:t>415.8</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iCs w:val="0"/>
                <w:color w:val="auto"/>
                <w:kern w:val="0"/>
                <w:sz w:val="16"/>
                <w:szCs w:val="16"/>
                <w:u w:val="none"/>
                <w:lang w:val="en-US" w:eastAsia="zh-CN" w:bidi="ar"/>
              </w:rPr>
            </w:pPr>
            <w:r>
              <w:rPr>
                <w:rFonts w:hint="eastAsia" w:ascii="Times New Roman" w:hAnsi="Times New Roman" w:eastAsia="宋体" w:cs="宋体"/>
                <w:i w:val="0"/>
                <w:iCs w:val="0"/>
                <w:color w:val="auto"/>
                <w:kern w:val="0"/>
                <w:sz w:val="16"/>
                <w:szCs w:val="16"/>
                <w:u w:val="none"/>
                <w:lang w:val="en-US" w:eastAsia="zh-CN" w:bidi="ar"/>
              </w:rPr>
              <w:t>378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iCs w:val="0"/>
                <w:color w:val="auto"/>
                <w:kern w:val="0"/>
                <w:sz w:val="16"/>
                <w:szCs w:val="16"/>
                <w:u w:val="none"/>
                <w:lang w:val="en-US" w:eastAsia="zh-CN" w:bidi="ar"/>
              </w:rPr>
            </w:pPr>
            <w:r>
              <w:rPr>
                <w:rFonts w:hint="eastAsia" w:ascii="Times New Roman" w:hAnsi="Times New Roman" w:eastAsia="宋体" w:cs="宋体"/>
                <w:i w:val="0"/>
                <w:iCs w:val="0"/>
                <w:color w:val="auto"/>
                <w:kern w:val="0"/>
                <w:sz w:val="16"/>
                <w:szCs w:val="16"/>
                <w:u w:val="none"/>
                <w:lang w:val="en-US" w:eastAsia="zh-CN" w:bidi="ar"/>
              </w:rPr>
              <w:t>359.1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iCs w:val="0"/>
                <w:color w:val="auto"/>
                <w:kern w:val="0"/>
                <w:sz w:val="16"/>
                <w:szCs w:val="16"/>
                <w:u w:val="none"/>
                <w:lang w:val="en-US" w:eastAsia="zh-CN" w:bidi="ar"/>
              </w:rPr>
            </w:pPr>
            <w:r>
              <w:rPr>
                <w:rFonts w:hint="eastAsia" w:ascii="Times New Roman" w:hAnsi="Times New Roman" w:eastAsia="宋体" w:cs="宋体"/>
                <w:i w:val="0"/>
                <w:iCs w:val="0"/>
                <w:color w:val="auto"/>
                <w:kern w:val="0"/>
                <w:sz w:val="16"/>
                <w:szCs w:val="16"/>
                <w:u w:val="none"/>
                <w:lang w:val="en-US" w:eastAsia="zh-CN" w:bidi="ar"/>
              </w:rPr>
              <w:t>340.2</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color w:val="auto"/>
                <w:kern w:val="0"/>
                <w:sz w:val="18"/>
                <w:szCs w:val="16"/>
                <w:lang w:bidi="ar"/>
              </w:rPr>
            </w:pPr>
            <w:r>
              <w:rPr>
                <w:rFonts w:hint="eastAsia" w:ascii="Times New Roman" w:hAnsi="Times New Roman" w:eastAsia="宋体" w:cs="宋体"/>
                <w:color w:val="auto"/>
                <w:kern w:val="0"/>
                <w:sz w:val="18"/>
                <w:szCs w:val="16"/>
                <w:lang w:bidi="ar"/>
              </w:rPr>
              <w:t>自费</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ascii="Times New Roman" w:hAnsi="Times New Roman" w:eastAsia="宋体" w:cs="宋体"/>
                <w:color w:val="auto"/>
                <w:sz w:val="18"/>
                <w:szCs w:val="16"/>
              </w:rPr>
            </w:pP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color w:val="auto"/>
                <w:kern w:val="0"/>
                <w:sz w:val="18"/>
                <w:szCs w:val="16"/>
                <w:lang w:bidi="ar"/>
              </w:rPr>
            </w:pPr>
            <w:r>
              <w:rPr>
                <w:rFonts w:hint="eastAsia" w:ascii="Times New Roman" w:hAnsi="Times New Roman" w:eastAsia="宋体" w:cs="宋体"/>
                <w:color w:val="auto"/>
                <w:kern w:val="0"/>
                <w:sz w:val="18"/>
                <w:szCs w:val="16"/>
                <w:lang w:bidi="ar"/>
              </w:rPr>
              <w:t>手术费</w:t>
            </w:r>
          </w:p>
        </w:tc>
      </w:tr>
    </w:tbl>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Times New Roman" w:hAnsi="Times New Roman" w:eastAsia="宋体" w:cs="宋体"/>
          <w:color w:val="auto"/>
          <w:kern w:val="0"/>
          <w:sz w:val="18"/>
          <w:szCs w:val="16"/>
          <w:lang w:bidi="ar"/>
        </w:rPr>
        <w:sectPr>
          <w:headerReference r:id="rId3" w:type="default"/>
          <w:footerReference r:id="rId4" w:type="default"/>
          <w:pgSz w:w="23811" w:h="16838" w:orient="landscape"/>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34" w:charSpace="0"/>
        </w:sectPr>
      </w:pPr>
    </w:p>
    <w:p>
      <w:pPr>
        <w:spacing w:line="600" w:lineRule="exact"/>
        <w:rPr>
          <w:rFonts w:hint="eastAsia" w:eastAsia="方正仿宋_GBK" w:cs="方正仿宋_GBK"/>
          <w:vanish/>
          <w:sz w:val="32"/>
          <w:szCs w:val="32"/>
          <w:lang w:bidi="ar"/>
        </w:rPr>
        <w:sectPr>
          <w:pgSz w:w="16838" w:h="23811"/>
          <w:pgMar w:top="1474" w:right="1848" w:bottom="1587" w:left="1962" w:header="851" w:footer="992" w:gutter="0"/>
          <w:pgBorders>
            <w:top w:val="none" w:sz="0" w:space="0"/>
            <w:left w:val="none" w:sz="0" w:space="0"/>
            <w:bottom w:val="none" w:sz="0" w:space="0"/>
            <w:right w:val="none" w:sz="0" w:space="0"/>
          </w:pgBorders>
          <w:pgNumType w:fmt="numberInDash"/>
          <w:cols w:space="0" w:num="1"/>
          <w:rtlGutter w:val="0"/>
          <w:docGrid w:type="lines" w:linePitch="334" w:charSpace="0"/>
        </w:sect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Times New Roman" w:hAnsi="Times New Roman" w:eastAsia="方正黑体_GBK" w:cs="Times New Roman"/>
          <w:color w:val="000000"/>
          <w:kern w:val="0"/>
          <w:sz w:val="44"/>
          <w:szCs w:val="44"/>
          <w:shd w:val="clear" w:color="auto" w:fill="FFFFFF"/>
          <w:lang w:bidi="ar"/>
        </w:rPr>
      </w:pPr>
      <w:r>
        <w:rPr>
          <w:rFonts w:hint="eastAsia" w:ascii="Times New Roman" w:hAnsi="Times New Roman" w:eastAsia="方正黑体_GBK" w:cs="方正黑体_GBK"/>
          <w:color w:val="000000"/>
          <w:kern w:val="0"/>
          <w:sz w:val="44"/>
          <w:szCs w:val="44"/>
          <w:shd w:val="clear" w:color="auto" w:fill="FFFFFF"/>
          <w:lang w:bidi="ar"/>
        </w:rPr>
        <w:t>附件2</w:t>
      </w:r>
    </w:p>
    <w:p>
      <w:pPr>
        <w:keepNext w:val="0"/>
        <w:keepLines w:val="0"/>
        <w:pageBreakBefore w:val="0"/>
        <w:widowControl/>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_GBK" w:hAnsi="方正小标宋_GBK" w:eastAsia="方正小标宋_GBK" w:cs="方正小标宋_GBK"/>
          <w:snapToGrid w:val="0"/>
          <w:kern w:val="0"/>
          <w:sz w:val="52"/>
          <w:szCs w:val="52"/>
          <w:shd w:val="clear" w:color="auto" w:fill="FFFFFF"/>
          <w:lang w:bidi="ar"/>
        </w:rPr>
      </w:pPr>
      <w:bookmarkStart w:id="1" w:name="_GoBack"/>
      <w:r>
        <w:rPr>
          <w:rFonts w:hint="eastAsia" w:ascii="方正小标宋_GBK" w:hAnsi="方正小标宋_GBK" w:eastAsia="方正小标宋_GBK" w:cs="方正小标宋_GBK"/>
          <w:snapToGrid w:val="0"/>
          <w:kern w:val="0"/>
          <w:sz w:val="52"/>
          <w:szCs w:val="52"/>
          <w:shd w:val="clear" w:color="auto" w:fill="FFFFFF"/>
          <w:lang w:bidi="ar"/>
        </w:rPr>
        <w:t>停用脑电图等医疗服务价格项目表</w:t>
      </w:r>
    </w:p>
    <w:bookmarkEnd w:id="1"/>
    <w:p>
      <w:pPr>
        <w:widowControl/>
        <w:adjustRightInd w:val="0"/>
        <w:snapToGrid w:val="0"/>
        <w:spacing w:line="360" w:lineRule="auto"/>
        <w:ind w:firstLine="1600"/>
        <w:rPr>
          <w:rFonts w:ascii="Times New Roman" w:hAnsi="Times New Roman" w:eastAsia="仿宋" w:cs="Times New Roman"/>
          <w:color w:val="000000"/>
          <w:kern w:val="0"/>
          <w:sz w:val="32"/>
          <w:szCs w:val="32"/>
          <w:shd w:val="clear" w:color="auto" w:fill="FFFFFF"/>
          <w:lang w:bidi="ar"/>
        </w:rPr>
      </w:pPr>
    </w:p>
    <w:tbl>
      <w:tblPr>
        <w:tblStyle w:val="8"/>
        <w:tblW w:w="4999" w:type="pct"/>
        <w:tblInd w:w="0" w:type="dxa"/>
        <w:tblLayout w:type="autofit"/>
        <w:tblCellMar>
          <w:top w:w="0" w:type="dxa"/>
          <w:left w:w="108" w:type="dxa"/>
          <w:bottom w:w="0" w:type="dxa"/>
          <w:right w:w="108" w:type="dxa"/>
        </w:tblCellMar>
      </w:tblPr>
      <w:tblGrid>
        <w:gridCol w:w="1250"/>
        <w:gridCol w:w="2119"/>
        <w:gridCol w:w="4912"/>
        <w:gridCol w:w="4960"/>
      </w:tblGrid>
      <w:tr>
        <w:tblPrEx>
          <w:tblCellMar>
            <w:top w:w="0" w:type="dxa"/>
            <w:left w:w="108" w:type="dxa"/>
            <w:bottom w:w="0" w:type="dxa"/>
            <w:right w:w="108" w:type="dxa"/>
          </w:tblCellMar>
        </w:tblPrEx>
        <w:trPr>
          <w:trHeight w:val="760" w:hRule="atLeast"/>
          <w:tblHeader/>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序号</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项目编码</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项目名称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医保结算编码</w:t>
            </w:r>
          </w:p>
        </w:tc>
      </w:tr>
      <w:tr>
        <w:tblPrEx>
          <w:tblCellMar>
            <w:top w:w="0" w:type="dxa"/>
            <w:left w:w="108" w:type="dxa"/>
            <w:bottom w:w="0" w:type="dxa"/>
            <w:right w:w="108" w:type="dxa"/>
          </w:tblCellMar>
        </w:tblPrEx>
        <w:trPr>
          <w:trHeight w:val="8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14导以上加收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术中监测收取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睡眠脑电图</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脑电图功率谱</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特殊脑电图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003101000020000-310100002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310100002.10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特殊脑电图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特殊电极</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鼻咽或蝶骨</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003101000020100-310100002.10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310100002.20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特殊脑电图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特殊诱发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003101000020200-310100002.20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脑地形图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003101000030000-310100003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脑地形图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彩色加收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003101000030000-310100003.01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脑地形图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14导以上加收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003101000030000-310100003.02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动态脑电图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003101000040000-310100004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动态脑电图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132道视频脑电图加收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003101000040000-310100004.01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动态脑电图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24小时脑电视频监测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003101000040100-310100004.10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动态脑电图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脑电Holter</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003101000040200-310100004.20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脑电图录象监测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003101000050000-310100005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脑磁图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每增加一项功能定位加收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癫痫定位加收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视觉定位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听觉定位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体感诱发定位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语言区定位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运动区定位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神经传导速度测定</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003101000070000-310100007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神经传导速度测定</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重复神经电刺激</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003101000070100-310100007.10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神经电图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003101000080000-310100008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体感诱发电位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003101000090000-310100009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地形图分析加收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003101000090001-310100009.01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术中监测收取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003101000090000-310100009.02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上肢体感诱发电位检查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003101000090100-310100009.10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下肢体感诱发电位检查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003101000090200-310100009.20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运动诱发电位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003101000100000-310100010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运动诱发电位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术中监测收取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003101000100000-310100010.01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事件相关电位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003101000110000-310100011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增加N400检查时加收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003101000110001-310100011.01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视觉</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003101000110100-310100011.10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体感刺激P300</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003101000110200-310100011.20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听觉P300</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003101000110300-310100011.30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脑干听觉诱发电位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003101000120000-310100012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术中颅神经监测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003101000130000-310100013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颅内压监测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003101000140000-310100014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颅内压监测</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脑氧代谢监测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003101000140000-310100014.10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颅内压监测</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脑微透析监测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003101000140000-310100014.20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感觉阈值测量</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003101000150000-310100015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感觉阈值测量</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感觉障碍电生理诊断</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003101000150100-310100015.10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侧脑室穿刺术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003101000170000-310100017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侧脑室穿刺术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003101000170100-310100017.10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枕大池穿刺术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003101000180000-310100018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硬脑膜下穿刺术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003101000190000-310100019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植物神经功能检查</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003101000210000-310100021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多功能神经肌肉功能监测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003101000220000-310100022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310100022.10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多功能神经肌肉功能监测</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表面肌电测定</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003101000220100-310100022.10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肌电图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003101000230000-310100023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肌电图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眼肌电图</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003101000230100-310100023.10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肌电图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巨肌电图</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003101000230000-310100023.20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单纤维肌电图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003101000240000-310100024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肌电图监测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003101000250000-310100025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多轨迹断层肌电图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003101000260000-310100026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神经阻滞治疗</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003101000270000-310100027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神经阻滞治疗</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13个点以上，每增加一个点加收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003101000270000-310100027.01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经皮穿刺三叉神经半月节注射治疗术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003101000280000-310100028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经皮穿刺三叉神经半月节射频温控热凝术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003101000290000-310100029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310100029.01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经皮穿刺三叉神经半月节射频温控热凝术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其他神经射频温控热凝术收取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003101000290000-310100029.01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经皮穿刺三叉神经半月节射频温控热凝术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感觉根射频温控热凝</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003101000290100-310100029.10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经皮穿刺三叉神经干注射术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003101000300000-310100030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慢性小脑电刺激术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003101000310000-310100031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慢性小脑电刺激术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小脑功能治疗</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003101000310000-310100031.10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周围神经毁损术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003101000330000-310100033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周围神经毁损术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三叉神经干加收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003101000330001-310100033.01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周围神经毁损术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射频加收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003101000330000-310100033.02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脊髓神经电刺激系统植入术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植入3根电极加收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电极或电刺激器调整收取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电刺激器、电极取出术收取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电极、电刺激器更换收取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脊髓神经电极植入和体外测试术收取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三叉神经半月节球囊压迫术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003101000290000-310100039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310100041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喉返神经功能监测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003101000210000-310100041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310100042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皮层电刺激脑功能区定位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003101000020000-310100042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面神经肌电图检查</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003105040030000-310504003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额</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003105040030100-310504003.10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眼</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003105040030200-310504003.20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上唇</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003105040030300-310504003.30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下唇</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003105040030400-310504003.40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311202002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新生儿测颅压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003112020020000-311202002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311503012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脑电治疗</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A620</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003115030120000-311503012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311503031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经颅磁刺激治疗</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503115030390000-311503031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经股动脉插管全脑动脉造影术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003206000010000-320600001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经颈动脉插管全脑动脉造影术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003206000010100-320600001.10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经桡动脉插管全脑动脉造影术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003206000010000-320600001.20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单纯脑动静脉瘘栓塞术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003206000020000-320600002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经皮穿刺脑血管腔内球囊成形术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003206000030000-320600003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经皮穿刺脑血管腔内支架置入术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003206000040000-320600004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经皮穿刺脑血管腔内溶栓术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003206000050000-320600005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经皮穿刺脑血管腔内化疗术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003206000060000-320600006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颅内动脉瘤栓塞术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003206000080000-320600008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脑及颅内血管畸形栓塞术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003206000090000-320600009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003206000100000-320600010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脊髓血管畸形栓塞术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003206000110000-320600011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脑血管腔内血栓取出术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503206000120000-320600013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颅骨骨瘤切除术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003302010020000-330201002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颅内硬膜外血肿引流术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003302010040000-330201004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颅内硬膜外血肿引流术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脓肿引流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003302010040100-330201004.10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脑脓肿穿刺引流术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003302010050000-330201005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开放性颅脑损伤清除术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003302010060000-330201006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330201006.01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开放性颅脑损伤清除术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静脉窦破裂加收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003302010060001-330201006.01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开放性颅脑损伤清除术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火器伤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003302010060100-330201006.10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颅骨凹陷骨折复位术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003302010070000-330201007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去颅骨骨瓣减压术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003302010080000-330201008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003302010090000-330201009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颅骨修补术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假体植入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003302010090100-330201009.10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颅骨钻孔探查术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003302010100000-330201010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颅骨钻孔探查术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两孔以上加收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003302010100001-330201010.01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慢性硬膜下血肿钻孔术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003302010130000-330201013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慢性硬膜下血肿钻孔术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高血压脑出血碎吸术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003302010130100-330201013.10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颅内多发血肿清除术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003302010140000-330201014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330201014.01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颅内多发血肿清除术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非同一部位血肿加收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003302010140001-330201014.01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颅内血肿清除术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003302010150000-330201015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使用颅内镜加收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003302010150001-330201015.01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单纯硬膜外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003302010150100-330201015.10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硬膜下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003302010150200-330201015.20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脑内血肿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003302010150300-330201015.30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开颅颅内减压术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003302010160000-330201016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大脑颞极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003302010160100-330201016.10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额极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003302010160200-330201016.20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枕极切除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003302010160300-330201016.30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颞肌下减压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003302010160400-330201016.40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经颅视神经管减压术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003302010170000-330201017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颅内压监护传感器置入术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003302010180000-330201018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颅内硬膜下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003302010180100-330201018.10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硬膜外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003302010180200-330201018.20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脑内</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003302010180300-330201018.30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脑室内</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003302010180400-330201018.40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侧脑室分流术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003302010190000-330201019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侧脑室分流术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侧脑室-心房分流术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003302010190100-330201019.10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侧脑室分流术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侧脑室-膀胱分流术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003302010190200-330201019.20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侧脑室分流术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侧脑室-腹腔分流术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003302010190300-330201019.30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脑室钻孔伴脑室引流术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003302010200000-330201020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颅内蛛网膜囊肿分流术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003302010210000-330201021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幕上浅部病变切除术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003302010220000-330201022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大脑半球胶质瘤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003302010220100-330201022.10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转移癌</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003302010220200-330201022.20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胶质增生</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003302010220300-330201022.30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大脑半球凸面脑膜瘤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003302010220400-330201022.40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003302010220500-330201022.50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大静脉窦旁脑膜瘤切除+血管窦重建术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矢状窦</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003302010230100-330201023.10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大静脉窦旁脑膜瘤切除+血管窦重建术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横窦</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003302010230200-330201023.20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330201023.30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大静脉窦旁脑膜瘤切除+血管窦重建术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窦汇区脑膜瘤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003302010230300-330201023.30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幕上深部病变切除术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003302010240000-330201024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幕上深部病变切除术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脑室内肿瘤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003302010240100-330201024.10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幕上深部病变切除术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海绵状血管瘤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003302010240200-330201024.20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第四脑室肿瘤切除术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003302010250000-330201025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第四脑室肿瘤切除术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小脑下蚓部</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003302010250100-330201025.10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第四脑室肿瘤切除术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四室室管膜瘤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003302010250200-330201025.20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第四脑室肿瘤切除术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四室导水管囊虫</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003302010250300-330201025.30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经颅内镜脑室肿瘤切除术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003302010260000-330201026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桥小脑角肿瘤切除术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003302010270000-330201027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听神经瘤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003302010270100-330201027.10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三叉神经鞘瘤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003302010270200-330201027.20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胆脂瘤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003302010270300-330201027.30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蛛网膜囊肿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003302010270400-330201027.40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脑皮质切除术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003302010280000-330201028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大脑半球切除术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003302010290000-330201029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选择性杏仁核海马切除术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003302010300000-330201030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胼胝体切开术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003302010310000-330201031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多处软脑膜下横纤维切断术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003302010320000-330201032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癫痫病灶切除术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003302010330000-330201033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癫痫病灶切除术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软脑膜下烧灼术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003302010330200-330201033.10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癫痫病灶切除术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脑叶切除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003302010330300-330201033.20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癫痫刀手术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003302010340000-330201034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脑深部电极置入术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003302010350000-330201035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330201035.01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脑深部电极置入术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每增加一个电极加收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003302010350000-330201035.01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小脑半球病变切除术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003302010360000-330201036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小脑半球胶质瘤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003302010360100-330201036.10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血管网织细胞瘤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003302010360200-330201036.20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转移癌</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003302010360300-330201036.30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003302010360400-330201036.40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自发性出血</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003302010360500-330201036.50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003302010370100-330201037.10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桥脑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003302010370200-330201037.20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延髓</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003302010370300-330201037.30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丘脑肿瘤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003302010370400-330201037.40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自发脑干血肿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003302010370500-330201037.50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脑干血管畸形</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003302010370600-330201037.60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330201037.70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小脑实性血网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003302010370700-330201037.70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鞍区占位病变切除术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003302010380000-330201038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鞍区占位病变切除术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垂体瘤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003302010380100-330201038.10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鞍区占位病变切除术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鞍区颅咽管瘤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003302010380200-330201038.20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鞍区占位病变切除术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视神经胶质瘤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003302010380300-330201038.30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垂体瘤切除术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003302010390000-330201039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垂体瘤切除术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经口腔</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003302010390100-330201039.10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垂体瘤切除术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经鼻腔</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003302010390200-330201039.20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经口腔入路颅底斜坡肿瘤切除术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003302010400000-330201040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经上颌入路颅底海绵窦侵入肿瘤切除术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003302010400100-330201040.10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颅底肿瘤切除术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003302010410000-330201041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颅底再造术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003302010090000-330201041.02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前颅窝颅内外沟通性肿瘤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003302010410100-330201041.10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中颅窝颅内外沟通性肿瘤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003302010410200-330201041.20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前颅窝底肿瘤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003302010410300-330201041.30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中颅窝底肿瘤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003302010410400-330201041.40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后颅窝底肿瘤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003302010410500-330201041.50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颈静脉孔区肿瘤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003302010410600-330201041.60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经颅内镜第三脑室底造瘘术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003302010420000-330201042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经脑室镜胶样囊肿切除术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003302010430000-330201043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脑囊虫摘除术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003302010440000-330201044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经颅内镜经鼻蝶垂体肿瘤切除术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003302010450000-330201045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经颅内镜脑内囊肿造口术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003302010460000-330201046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经颅内镜脑内异物摘除术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003302010470000-330201047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经颅内镜脑室脉络丛烧灼术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003302010480000-330201048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终板造瘘术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003302010490000-330201049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海绵窦瘘直接手术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003302010500000-330201050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脑脊液漏修补术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003302010510000-330201051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脑脊液漏修补术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额窦修补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003302010510100-330201051.10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脑脊液漏修补术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前颅窝</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003302010510200-330201051.20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脑脊液漏修补术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中颅窝底修补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003302010510300-330201051.30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脑脊膜膨出修补术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003302010520000-330201052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环枕畸形减压术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003302010530000-330201053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经口齿状突切除术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003302010540000-330201054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颅缝骨化症整形术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003302010550000-330201055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骨纤维异常增殖切除整形术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003302010560000-330201056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颅缝再造术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003302010570000-330201057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大网膜颅内移植术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003302010580000-330201058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立体定向颅内肿物清除术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003302010590000-330201059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003302010590100-330201059.10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003302010590200-330201059.20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003302010590300-330201059.30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取异物</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003302010590500-330201059.50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立体定向脑深部核团毁损术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003302010600000-330201060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增加一个</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靶点</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003302010600001-330201060.01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舞蹈病</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003302010600200-330201060.20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扭转痉挛</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003302010600300-330201060.30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癫痫</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003302010600400-330201060.40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射频治疗</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003302010600500-330201060.50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细胞刀治疗</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003302010600500-330201060.60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三叉神经感觉后根切断术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003302020010000-330202001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三叉神经周围支切断术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003302020020000-330202002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三叉神经撕脱术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003302020030000-330202003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三叉神经干鞘膜内注射术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003302020040000-330202004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颞部开颅三叉神经节切断术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003302020050000-330202005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迷路后三叉神经切断术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003302020060000-330202006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颅神经微血管减压术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003302020070000-330202007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使用颅内镜加收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003302020070001-330202007.01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003302020070100-330202007.10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003302020070200-330202007.20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003302020070300-330202007.30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舌咽神经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003302020070400-330202007.40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迷走神经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003302020070500-330202007.50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面神经简单修复术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003302020080000-330202008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面神经简单修复术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肌筋膜悬吊术及神经断端直接吻合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003302020080100-330202008.10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面神经简单修复术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局部同一创面的神经移植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003302020080200-330202008.20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面神经吻合术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003302020090000-330202009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面副神经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003302020090100-330202009.10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面舌下神经吻合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003302020090200-330202009.20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听神经瘤手术中颅内直接吻合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003302020090300-330202009.30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面神经跨面移植术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003302020100000-330202010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面神经松解减压术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003302020110000-330202011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面神经松解减压术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面神经周围支支配的外周部分松解</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003302020110100-330202011.10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经耳面神经梳理术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003302020120000-330202012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面神经周围神经移植术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003302020130000-330202013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经迷路前庭神经切断术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003302020140000-330202014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迷路后前庭神经切断术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003302020150000-330202015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经内镜前庭神经切断术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003302020160000-330202016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经乙状窦后进路神经切断术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003302020170000-330202017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经乙状窦后进路神经切断术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003302020170100-330202017.10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经乙状窦后进路神经切断术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舌咽神经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003302020170200-330202017.20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经颅脑脊液耳漏修补术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003302020180000-330202018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颅内巨大动脉瘤夹闭切除术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003302030010000-330203001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多夹除一个动脉瘤加收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003302030010001-330203001.01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基底动脉瘤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003302030010100-330203001.10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大脑后动脉瘤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003302030010200-330203001.20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颅内动脉瘤夹闭术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003302030020000-330203002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330203002.01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颅内动脉瘤夹闭术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多夹除一个动脉瘤加收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003302030020001-330203002.01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颅内动脉瘤包裹术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003302030030000-330203003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颅内动脉瘤包裹术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肌肉包裹</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003302030030100-330203003.10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颅内动脉瘤包裹术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生物胶包裹</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003302030030200-330203003.20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颅内动脉瘤包裹术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单纯栓塞</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003302030030300-330203003.30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颅内巨大动静脉畸形栓塞后切除术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003302030040000-330203004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颅内巨大动静脉畸形栓塞后切除术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脑干周围的小于4cm深部血管畸形</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003302030040100-330203004.10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颅内巨大动静脉畸形栓塞后切除术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脑室周围的小于4cm深部血管畸形</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003302030040100-330203004.20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颅内动静脉畸形切除术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003302030050000-330203005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脑动脉瘤动静脉畸形切除术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003302030060000-330203006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330203006.01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脑动脉瘤动静脉畸形切除术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脑动脉瘤与动静脉畸形不在同一部位加收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003302030060001-330203006.01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颈内动脉内膜剥脱术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003302030070000-330203007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颈内动脉内膜剥脱术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行动脉成形术加收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003302030070001-330203007.01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椎动脉内膜剥脱术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003302030080000-330203008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330203008.01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椎动脉内膜剥脱术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行动脉成形术加收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003302030080001-330203008.01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椎动脉减压术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003302030090000-330203009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颈动脉外膜剥脱术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003302030100000-330203010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双侧加收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003302030100001-330203010.01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颈总动脉外膜剥脱术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003302030100100-330203010.10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颈内动脉外膜剥脱术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003302030100200-330203010.20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颈外动脉外膜剥脱术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003302030100400-330203010.30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迷走神经剥离术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003302030100300-330203010.40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颈总动脉大脑中动脉吻合术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003302030110000-330203011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颈总动脉大脑中动脉吻合术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取大隐静脉加收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003302030110001-330203011.01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颈总动脉大脑中动脉吻合术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颞浅动脉-大脑中动脉吻合术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003302030110100-330203011.10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颅外内动脉搭桥术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003302030120000-330203012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颞肌颞浅动脉贴敷术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003302030130000-330203013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颈动脉结扎术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003302030140000-330203014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颈动脉结扎术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颈内动脉</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003302030140100-330203014.10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颈动脉结扎术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颈外动脉</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003302030140200-330203014.20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颈动脉结扎术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颈总动脉结扎</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003302030140300-330203014.30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颅内血管重建术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003302030150000-330203015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脊髓和神经根粘连松解术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003302040010000-330204001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脊髓空洞症内引流术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003302040020000-330204002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脊髓丘脑束切断术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003302040030000-330204003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脊髓栓系综合症手术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003302040040000-330204004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脊髓前连合切断术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003302040050000-330204005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脊髓前连合切断术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选择性脊神经后根切断术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003302040050100-330204005.10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椎管内脓肿切开引流术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003302040060000-330204006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椎管内脓肿切开引流术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硬膜下脓肿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003302040060100-330204006.10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脊髓内病变切除术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003302040070000-330204007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脊髓内病变切除术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长度超过5cm以上的肿瘤加收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003302040070001-330204007.01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脊髓内病变切除术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髓内肿瘤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003302040070100-330204007.10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脊髓内病变切除术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髓内血肿清除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003302040070200-330204007.20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脊髓硬膜外病变切除术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003302040080000-330204008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硬脊膜外肿瘤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003302040080100-330204008.10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003302040080200-330204008.20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结核瘤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003302040080300-330204008.30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转移瘤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003302040080400-330204008.40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黄韧带增厚</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003302040080500-330204008.50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椎间盘突出</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003302040080600-330204008.60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髓外硬脊膜下病变切除术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003302040090000-330204009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髓外硬脊膜下病变</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长度超过5cm以上的肿瘤加收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003302040090001-330204009.01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髓外硬脊膜下病变切除术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硬脊膜下肿瘤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003302040090100-330204009.10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髓外硬脊膜下病变切除术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003302040090200-330204009.20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脊髓外露修补术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003302040100000-330204010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脊髓动静脉畸形切除术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003302040110000-330204011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脊髓蛛网膜下腔腹腔分流术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003302040120000-330204012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脊髓蛛网膜下腔输尿管分流术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003302040130000-330204013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选择性脊神经后根切断术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SPR</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003302040140000-330204014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胸腰交感神经节切断术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003302040150000-330204015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腰骶部潜毛窦切除术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003302040170000-330204017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经皮穿刺骶神经囊肿治疗术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003302040180000-330204018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马尾神经吻合术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003302040190000-330204019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脑脊液置换术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003302040200000-330204020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330204021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欧玛亚</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Omaya</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管置入术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003302040210000-330204021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330204022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骶神经调控术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003302040230000-330204022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330300017.10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喉返神经探查术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神经吻合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003303000170100-330300017.10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经乳突脑脓肿引流术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003305030180000-330503018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颞叶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003305030180100-330503018.10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003305030180200-330503018.20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乙状窦周围脓肿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003305030180300-330503018.30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穿刺</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003305030180400-330503018.40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切开引流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003305030180400-330503018.50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经乳突硬膜外脓肿引流术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003305030190000-330503019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经乳突硬膜外脓肿引流术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穿刺</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003305030190100-330503019.10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经乳突硬膜外脓肿引流术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切开引流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003305030190100-330503019.20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鼻外脑膜脑膨出颅底修补术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003306030010000-330603001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鼻内脑膜脑膨出颅底修补术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003306030020000-330603002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经鼻视神经减压术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003306030040000-330603004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鼻外视神经减压术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003306030050000-330603005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330604044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颌下神经节副交感神经纤维切断术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503306040520000-330604044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331002013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胃迷走神经切断术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003310020130000-331002013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331002013.10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胃迷走神经切断术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选择性迷走神经切除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003310020130100-331002013.10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331002013.20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胃迷走神经切断术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迷走神经干切断</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003310020130200-331002013.20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电诊断</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003401000070000-340100007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直流电检查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003401000070100-340100007.10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感应电检查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003401000070200-340100007.20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直流-感应电检查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003401000070300-340100007.30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时值检查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003401000070400-340100007.40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强度-频率曲线检查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003401000070500-340100007.50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中频脉冲电检查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003401000070600-340100007.60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HBB73304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显微镜下颅内蛛网膜囊肿摘除术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003302010210000-HBB73304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HBC65302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显微镜下幕上深部异物清除术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003302010240000-HBC65302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HBC73301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显微镜下幕上深部肿物切除术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003302010240000-HBC73301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HBC73302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显微镜下幕上深部脑室内肿物切除术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003302010240100-HBC73302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HBD73301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显微镜下丘脑肿物切除术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003302010370400-HBD73301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HBF65301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显微镜下脑干血肿清除术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003302010370500-HBF65301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HBG73301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显微镜下第三脑室前肿物切除术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003302010240400-HBG73301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HBG73302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显微镜下第三脑室肿物切除术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003302010240400-HBG73302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HBG73303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显微镜下第三脑室后肿物切除术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003302010240400-HBG73303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显微镜下颅内巨大动脉瘤夹闭切除术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003302030010000-HBJ73302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HBJ73302.01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显微镜下颅内巨大动脉瘤夹闭切除术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每增加1个动脉瘤加收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003302030010001-HBJ73302.01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显微镜下颅内巨大动脉瘤夹闭切除术+颈动脉暴露术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003302030010000-HBJ73303</w:t>
            </w:r>
          </w:p>
        </w:tc>
      </w:tr>
      <w:tr>
        <w:tblPrEx>
          <w:tblCellMar>
            <w:top w:w="0" w:type="dxa"/>
            <w:left w:w="108" w:type="dxa"/>
            <w:bottom w:w="0" w:type="dxa"/>
            <w:right w:w="108" w:type="dxa"/>
          </w:tblCellMar>
        </w:tblPrEx>
        <w:trPr>
          <w:trHeight w:val="108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显微镜下颅内巨大动脉瘤夹闭切除术+颈动脉暴露术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每增加1个动脉瘤加收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003302030010000-HBJ73303.01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显微镜下枕大孔区肿物切除术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003302010370300-HBN73301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显微镜下颈静脉孔区肿物切除术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003302010410600-HBN73302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上颌进路颅底肿瘤切除术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003302010410000-HBN73303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显微镜下鞍区肿物切除术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003302010380000-HBN73309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HBN73605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鼻内镜鞍区肿物切除术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003302010380000-HBN73605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HVB83301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颅骨缺损修补成形术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003302010090100-HVB83301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HVB83301.10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颅骨缺损修补成形术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颅底再造</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003302010090000-HVB83301.10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MAEBZ001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感觉障碍检查</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003101000150100-MAEBZ001</w:t>
            </w:r>
          </w:p>
        </w:tc>
      </w:tr>
    </w:tbl>
    <w:p>
      <w:pPr>
        <w:rPr>
          <w:rFonts w:ascii="Calibri" w:hAnsi="Calibri" w:eastAsia="宋体" w:cs="Times New Roman"/>
          <w:vanish/>
        </w:rPr>
      </w:pPr>
    </w:p>
    <w:p>
      <w:pPr>
        <w:pStyle w:val="2"/>
        <w:rPr>
          <w:rFonts w:hint="eastAsia"/>
          <w:vanish/>
        </w:rPr>
        <w:sectPr>
          <w:pgSz w:w="16838" w:h="23811"/>
          <w:pgMar w:top="1474" w:right="1848" w:bottom="1587" w:left="1962" w:header="851" w:footer="992" w:gutter="0"/>
          <w:pgBorders>
            <w:top w:val="none" w:sz="0" w:space="0"/>
            <w:left w:val="none" w:sz="0" w:space="0"/>
            <w:bottom w:val="none" w:sz="0" w:space="0"/>
            <w:right w:val="none" w:sz="0" w:space="0"/>
          </w:pgBorders>
          <w:pgNumType w:fmt="numberInDash"/>
          <w:cols w:space="0" w:num="1"/>
          <w:rtlGutter w:val="0"/>
          <w:docGrid w:type="lines" w:linePitch="334"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
        <w:gridCol w:w="919"/>
        <w:gridCol w:w="1235"/>
        <w:gridCol w:w="1934"/>
        <w:gridCol w:w="1575"/>
        <w:gridCol w:w="546"/>
        <w:gridCol w:w="1666"/>
        <w:gridCol w:w="570"/>
        <w:gridCol w:w="570"/>
        <w:gridCol w:w="570"/>
        <w:gridCol w:w="570"/>
        <w:gridCol w:w="547"/>
        <w:gridCol w:w="162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79507C"/>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0F752B5"/>
    <w:rsid w:val="310205E4"/>
    <w:rsid w:val="314372AE"/>
    <w:rsid w:val="31667E06"/>
    <w:rsid w:val="324E1D58"/>
    <w:rsid w:val="32DA5548"/>
    <w:rsid w:val="335B486B"/>
    <w:rsid w:val="33C36B74"/>
    <w:rsid w:val="34D04B6D"/>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9351172"/>
    <w:rsid w:val="4A280732"/>
    <w:rsid w:val="4A9A45D5"/>
    <w:rsid w:val="4A9F2515"/>
    <w:rsid w:val="4D3B4FB8"/>
    <w:rsid w:val="4E5F467B"/>
    <w:rsid w:val="53AD1103"/>
    <w:rsid w:val="546D5C10"/>
    <w:rsid w:val="54E36229"/>
    <w:rsid w:val="554B02CC"/>
    <w:rsid w:val="556D5B9C"/>
    <w:rsid w:val="589B50B4"/>
    <w:rsid w:val="59312802"/>
    <w:rsid w:val="5BEE4C02"/>
    <w:rsid w:val="5C5C5E08"/>
    <w:rsid w:val="5D7F7BCB"/>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2026-07-07T03:21:02Z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332F407365ED4655946AFB33B8B03431</vt:lpwstr>
  </property>
</Properties>
</file>