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eastAsia="方正小标宋_GBK"/>
          <w:sz w:val="40"/>
          <w:szCs w:val="40"/>
        </w:rPr>
      </w:pPr>
    </w:p>
    <w:p>
      <w:pPr>
        <w:spacing w:line="540" w:lineRule="exact"/>
        <w:jc w:val="center"/>
        <w:rPr>
          <w:rFonts w:eastAsia="方正小标宋_GBK"/>
          <w:sz w:val="40"/>
          <w:szCs w:val="40"/>
        </w:rPr>
      </w:pPr>
    </w:p>
    <w:p>
      <w:pPr>
        <w:spacing w:line="540" w:lineRule="exact"/>
        <w:jc w:val="center"/>
        <w:rPr>
          <w:rFonts w:eastAsia="方正小标宋_GBK"/>
          <w:w w:val="40"/>
          <w:sz w:val="40"/>
          <w:szCs w:val="4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p>
    <w:p>
      <w:pPr>
        <w:spacing w:line="560" w:lineRule="exact"/>
        <w:jc w:val="left"/>
        <w:rPr>
          <w:rFonts w:hint="eastAsia" w:ascii="Times New Roman" w:hAnsi="Times New Roman" w:eastAsia="方正小标宋_GBK" w:cs="方正小标宋_GBK"/>
          <w:b w:val="0"/>
          <w:bCs w:val="0"/>
          <w:i w:val="0"/>
          <w:iCs w:val="0"/>
          <w:caps w:val="0"/>
          <w:snapToGrid w:val="0"/>
          <w:color w:val="333333"/>
          <w:spacing w:val="0"/>
          <w:sz w:val="44"/>
          <w:szCs w:val="44"/>
          <w:highlight w:val="none"/>
          <w:shd w:val="clear" w:color="auto" w:fill="FFFFFF"/>
          <w:lang w:eastAsia="zh-CN"/>
        </w:rPr>
      </w:pPr>
      <w:r>
        <w:rPr>
          <w:rFonts w:hint="eastAsia" w:ascii="Times New Roman" w:hAnsi="Times New Roman" w:eastAsia="方正仿宋_GBK" w:cs="方正仿宋_GBK"/>
          <w:sz w:val="32"/>
          <w:szCs w:val="32"/>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Times New Roman" w:hAnsi="Times New Roman" w:eastAsia="方正小标宋_GBK" w:cs="方正小标宋_GBK"/>
          <w:b w:val="0"/>
          <w:bCs w:val="0"/>
          <w:i w:val="0"/>
          <w:iCs w:val="0"/>
          <w:caps w:val="0"/>
          <w:snapToGrid w:val="0"/>
          <w:color w:val="333333"/>
          <w:spacing w:val="0"/>
          <w:sz w:val="44"/>
          <w:szCs w:val="44"/>
          <w:highlight w:val="none"/>
          <w:shd w:val="clear" w:color="auto" w:fill="FFFFFF"/>
          <w:lang w:eastAsia="zh-CN"/>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小标宋_GBK" w:cs="Times New Roman"/>
          <w:snapToGrid w:val="0"/>
          <w:sz w:val="42"/>
          <w:szCs w:val="42"/>
          <w:shd w:val="clear" w:color="auto" w:fill="FFFFFF"/>
        </w:rPr>
      </w:pPr>
      <w:r>
        <w:rPr>
          <w:rFonts w:ascii="Times New Roman" w:hAnsi="Times New Roman" w:eastAsia="方正小标宋_GBK" w:cs="Times New Roman"/>
          <w:snapToGrid w:val="0"/>
          <w:sz w:val="42"/>
          <w:szCs w:val="42"/>
          <w:shd w:val="clear" w:color="auto" w:fill="FFFFFF"/>
        </w:rPr>
        <w:t>重庆市医疗保障局关于</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hint="eastAsia" w:ascii="Times New Roman" w:hAnsi="Times New Roman" w:eastAsia="方正小标宋_GBK" w:cs="Times New Roman"/>
          <w:snapToGrid w:val="0"/>
          <w:sz w:val="42"/>
          <w:szCs w:val="42"/>
          <w:shd w:val="clear" w:color="auto" w:fill="FFFFFF"/>
        </w:rPr>
      </w:pPr>
      <w:r>
        <w:rPr>
          <w:rFonts w:ascii="Times New Roman" w:hAnsi="Times New Roman" w:eastAsia="方正小标宋_GBK" w:cs="Times New Roman"/>
          <w:snapToGrid w:val="0"/>
          <w:sz w:val="42"/>
          <w:szCs w:val="42"/>
          <w:shd w:val="clear" w:color="auto" w:fill="FFFFFF"/>
        </w:rPr>
        <w:t>规范</w:t>
      </w:r>
      <w:r>
        <w:rPr>
          <w:rFonts w:hint="eastAsia" w:ascii="Times New Roman" w:hAnsi="Times New Roman" w:eastAsia="方正小标宋_GBK" w:cs="Times New Roman"/>
          <w:snapToGrid w:val="0"/>
          <w:sz w:val="42"/>
          <w:szCs w:val="42"/>
          <w:shd w:val="clear" w:color="auto" w:fill="FFFFFF"/>
          <w:lang w:eastAsia="zh-CN"/>
        </w:rPr>
        <w:t>口腔类、颌面外科类</w:t>
      </w:r>
      <w:r>
        <w:rPr>
          <w:rFonts w:ascii="Times New Roman" w:hAnsi="Times New Roman" w:eastAsia="方正小标宋_GBK" w:cs="Times New Roman"/>
          <w:snapToGrid w:val="0"/>
          <w:sz w:val="42"/>
          <w:szCs w:val="42"/>
          <w:shd w:val="clear" w:color="auto" w:fill="FFFFFF"/>
        </w:rPr>
        <w:t>医疗服务价格项目</w:t>
      </w:r>
      <w:r>
        <w:rPr>
          <w:rFonts w:hint="eastAsia" w:ascii="Times New Roman" w:hAnsi="Times New Roman" w:eastAsia="方正小标宋_GBK" w:cs="Times New Roman"/>
          <w:snapToGrid w:val="0"/>
          <w:sz w:val="42"/>
          <w:szCs w:val="42"/>
          <w:shd w:val="clear" w:color="auto" w:fill="FFFFFF"/>
        </w:rPr>
        <w:t>及</w:t>
      </w: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center"/>
        <w:textAlignment w:val="auto"/>
        <w:rPr>
          <w:rFonts w:ascii="Times New Roman" w:hAnsi="Times New Roman" w:eastAsia="方正小标宋简体" w:cs="Times New Roman"/>
          <w:snapToGrid w:val="0"/>
          <w:sz w:val="42"/>
          <w:szCs w:val="42"/>
          <w:shd w:val="clear" w:color="auto" w:fill="FFFFFF"/>
        </w:rPr>
      </w:pPr>
      <w:r>
        <w:rPr>
          <w:rFonts w:hint="eastAsia" w:ascii="Times New Roman" w:hAnsi="Times New Roman" w:eastAsia="方正小标宋_GBK" w:cs="Times New Roman"/>
          <w:snapToGrid w:val="0"/>
          <w:sz w:val="42"/>
          <w:szCs w:val="42"/>
          <w:shd w:val="clear" w:color="auto" w:fill="FFFFFF"/>
        </w:rPr>
        <w:t>医保支付政策</w:t>
      </w:r>
      <w:r>
        <w:rPr>
          <w:rFonts w:ascii="Times New Roman" w:hAnsi="Times New Roman" w:eastAsia="方正小标宋_GBK" w:cs="Times New Roman"/>
          <w:snapToGrid w:val="0"/>
          <w:sz w:val="42"/>
          <w:szCs w:val="42"/>
          <w:shd w:val="clear" w:color="auto" w:fill="FFFFFF"/>
        </w:rPr>
        <w:t>的通知</w:t>
      </w:r>
    </w:p>
    <w:p>
      <w:pPr>
        <w:jc w:val="center"/>
        <w:rPr>
          <w:rFonts w:ascii="Calibri" w:hAnsi="Calibri" w:eastAsia="方正仿宋_GBK" w:cs="方正仿宋_GBK"/>
          <w:sz w:val="32"/>
          <w:szCs w:val="32"/>
        </w:rPr>
      </w:pPr>
      <w:r>
        <w:rPr>
          <w:rFonts w:hint="eastAsia" w:ascii="Calibri" w:hAnsi="Calibri" w:eastAsia="方正仿宋_GBK" w:cs="方正仿宋_GBK"/>
          <w:sz w:val="32"/>
          <w:szCs w:val="32"/>
        </w:rPr>
        <w:t>渝医保发〔</w:t>
      </w:r>
      <w:r>
        <w:rPr>
          <w:rFonts w:ascii="Times New Roman" w:hAnsi="Times New Roman" w:eastAsia="方正仿宋_GBK" w:cs="Times New Roman"/>
          <w:sz w:val="32"/>
          <w:szCs w:val="32"/>
        </w:rPr>
        <w:t>2026</w:t>
      </w:r>
      <w:r>
        <w:rPr>
          <w:rFonts w:hint="eastAsia" w:ascii="Calibri" w:hAnsi="Calibri" w:eastAsia="方正仿宋_GBK" w:cs="方正仿宋_GBK"/>
          <w:sz w:val="32"/>
          <w:szCs w:val="32"/>
        </w:rPr>
        <w:t>〕</w:t>
      </w:r>
      <w:r>
        <w:rPr>
          <w:rFonts w:ascii="Times New Roman" w:hAnsi="Times New Roman" w:eastAsia="方正仿宋_GBK" w:cs="Times New Roman"/>
          <w:sz w:val="32"/>
          <w:szCs w:val="32"/>
        </w:rPr>
        <w:t>17</w:t>
      </w:r>
      <w:r>
        <w:rPr>
          <w:rFonts w:hint="eastAsia" w:ascii="Calibri" w:hAnsi="Calibri" w:eastAsia="方正仿宋_GBK" w:cs="方正仿宋_GBK"/>
          <w:sz w:val="32"/>
          <w:szCs w:val="32"/>
        </w:rPr>
        <w:t>号</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ascii="Times New Roman" w:hAnsi="Times New Roman" w:eastAsia="方正仿宋_GBK" w:cs="Times New Roman"/>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0" w:firstLineChars="0"/>
        <w:jc w:val="both"/>
        <w:textAlignment w:val="auto"/>
        <w:rPr>
          <w:rFonts w:hint="eastAsia" w:ascii="Times New Roman" w:hAnsi="Times New Roman" w:eastAsia="方正仿宋_GBK" w:cs="方正仿宋_GBK"/>
          <w:snapToGrid w:val="0"/>
          <w:sz w:val="32"/>
          <w:szCs w:val="32"/>
        </w:rPr>
      </w:pPr>
      <w:r>
        <w:rPr>
          <w:rFonts w:hint="eastAsia" w:ascii="Times New Roman" w:hAnsi="Times New Roman" w:eastAsia="方正仿宋_GBK" w:cs="方正仿宋_GBK"/>
          <w:snapToGrid w:val="0"/>
          <w:kern w:val="0"/>
          <w:sz w:val="32"/>
          <w:szCs w:val="32"/>
          <w:shd w:val="clear" w:color="auto" w:fill="FFFFFF"/>
          <w:lang w:bidi="ar"/>
        </w:rPr>
        <w:t>各区县（自治县）医保局，高新区政务服务和社会事务中心、万盛经开区人力社保局，各公立医疗机构</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有关单位：</w:t>
      </w:r>
    </w:p>
    <w:p>
      <w:pPr>
        <w:keepNext w:val="0"/>
        <w:keepLines w:val="0"/>
        <w:pageBreakBefore w:val="0"/>
        <w:widowControl/>
        <w:suppressLineNumbers w:val="0"/>
        <w:kinsoku/>
        <w:wordWrap/>
        <w:overflowPunct/>
        <w:topLinePunct w:val="0"/>
        <w:autoSpaceDE/>
        <w:autoSpaceDN/>
        <w:bidi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color w:val="000000"/>
          <w:kern w:val="0"/>
          <w:sz w:val="32"/>
          <w:szCs w:val="32"/>
          <w:lang w:val="en-US" w:eastAsia="zh-CN" w:bidi="ar"/>
        </w:rPr>
        <w:t>为贯彻落实国家医保局等8部门《关于印发〈深化医疗服务价格改革试点方案〉的通知》（医保发〔2021〕41号）和国家医保局《口腔类医疗服务价格项目立项指南（试行）》（医保价采函〔2025〕18号）、《颌面外科类医疗服务价格项目立项指南（试行）》（医保价采函〔2025〕156号）精神，构建内涵边界清晰、适应临床诊疗、便于评价监管的价格项目体系，</w:t>
      </w:r>
      <w:r>
        <w:rPr>
          <w:rFonts w:hint="eastAsia" w:ascii="Times New Roman" w:hAnsi="Times New Roman" w:eastAsia="方正仿宋_GBK" w:cs="方正仿宋_GBK"/>
          <w:snapToGrid w:val="0"/>
          <w:kern w:val="0"/>
          <w:sz w:val="32"/>
          <w:szCs w:val="32"/>
          <w:shd w:val="clear" w:color="auto" w:fill="FFFFFF"/>
          <w:lang w:bidi="ar"/>
        </w:rPr>
        <w:t>经研究，决定规范我市</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将部分</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医疗服务项目纳入基本医疗保险基金支付范围，现就有关事项通知如下。</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方正黑体_GBK" w:hAnsi="方正黑体_GBK" w:eastAsia="方正黑体_GBK" w:cs="方正黑体_GBK"/>
          <w:snapToGrid w:val="0"/>
          <w:kern w:val="0"/>
          <w:sz w:val="32"/>
          <w:szCs w:val="32"/>
          <w:shd w:val="clear" w:color="auto" w:fill="FFFFFF"/>
          <w:lang w:bidi="ar"/>
        </w:rPr>
      </w:pPr>
      <w:r>
        <w:rPr>
          <w:rFonts w:hint="eastAsia" w:ascii="方正黑体_GBK" w:hAnsi="方正黑体_GBK" w:eastAsia="方正黑体_GBK" w:cs="方正黑体_GBK"/>
          <w:snapToGrid w:val="0"/>
          <w:kern w:val="0"/>
          <w:sz w:val="32"/>
          <w:szCs w:val="32"/>
          <w:shd w:val="clear" w:color="auto" w:fill="FFFFFF"/>
          <w:lang w:bidi="ar"/>
        </w:rPr>
        <w:t>一、规范医疗服务价格项目</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（一）规范整合我市</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医疗服务价格项目，规范后</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w:t>
      </w:r>
      <w:r>
        <w:rPr>
          <w:rFonts w:hint="eastAsia" w:ascii="Times New Roman" w:hAnsi="Times New Roman" w:eastAsia="方正仿宋_GBK" w:cs="方正仿宋_GBK"/>
          <w:snapToGrid w:val="0"/>
          <w:kern w:val="0"/>
          <w:sz w:val="32"/>
          <w:szCs w:val="32"/>
          <w:shd w:val="clear" w:color="auto" w:fill="FFFFFF"/>
          <w:lang w:val="en-US" w:eastAsia="zh-CN" w:bidi="ar"/>
        </w:rPr>
        <w:t>分别为195项、177</w:t>
      </w:r>
      <w:r>
        <w:rPr>
          <w:rFonts w:hint="eastAsia" w:ascii="Times New Roman" w:hAnsi="Times New Roman" w:eastAsia="方正仿宋_GBK" w:cs="方正仿宋_GBK"/>
          <w:snapToGrid w:val="0"/>
          <w:kern w:val="0"/>
          <w:sz w:val="32"/>
          <w:szCs w:val="32"/>
          <w:shd w:val="clear" w:color="auto" w:fill="FFFFFF"/>
          <w:lang w:bidi="ar"/>
        </w:rPr>
        <w:t>项</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详见附件1</w:t>
      </w:r>
      <w:r>
        <w:rPr>
          <w:rFonts w:hint="eastAsia" w:ascii="Times New Roman" w:hAnsi="Times New Roman" w:eastAsia="方正仿宋_GBK" w:cs="方正仿宋_GBK"/>
          <w:snapToGrid w:val="0"/>
          <w:kern w:val="0"/>
          <w:sz w:val="32"/>
          <w:szCs w:val="32"/>
          <w:shd w:val="clear" w:color="auto" w:fill="FFFFFF"/>
          <w:lang w:eastAsia="zh-CN" w:bidi="ar"/>
        </w:rPr>
        <w:t>）</w:t>
      </w:r>
      <w:r>
        <w:rPr>
          <w:rFonts w:hint="eastAsia" w:ascii="Times New Roman" w:hAnsi="Times New Roman" w:eastAsia="方正仿宋_GBK" w:cs="方正仿宋_GBK"/>
          <w:snapToGrid w:val="0"/>
          <w:kern w:val="0"/>
          <w:sz w:val="32"/>
          <w:szCs w:val="32"/>
          <w:shd w:val="clear" w:color="auto" w:fill="FFFFFF"/>
          <w:lang w:bidi="ar"/>
        </w:rPr>
        <w:t>。</w:t>
      </w:r>
    </w:p>
    <w:p>
      <w:pPr>
        <w:keepNext w:val="0"/>
        <w:keepLines w:val="0"/>
        <w:pageBreakBefore w:val="0"/>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（二）停用</w:t>
      </w:r>
      <w:r>
        <w:rPr>
          <w:rFonts w:hint="eastAsia" w:ascii="Times New Roman" w:hAnsi="Times New Roman" w:eastAsia="方正仿宋_GBK" w:cs="方正仿宋_GBK"/>
          <w:snapToGrid w:val="0"/>
          <w:kern w:val="0"/>
          <w:sz w:val="32"/>
          <w:szCs w:val="32"/>
          <w:shd w:val="clear" w:color="auto" w:fill="FFFFFF"/>
          <w:lang w:eastAsia="zh-CN" w:bidi="ar"/>
        </w:rPr>
        <w:t>“真空压力蒸气灭菌手机消毒成本费”</w:t>
      </w:r>
      <w:r>
        <w:rPr>
          <w:rFonts w:hint="eastAsia" w:ascii="Times New Roman" w:hAnsi="Times New Roman" w:eastAsia="方正仿宋_GBK" w:cs="方正仿宋_GBK"/>
          <w:snapToGrid w:val="0"/>
          <w:kern w:val="0"/>
          <w:sz w:val="32"/>
          <w:szCs w:val="32"/>
          <w:shd w:val="clear" w:color="auto" w:fill="FFFFFF"/>
          <w:lang w:bidi="ar"/>
        </w:rPr>
        <w:t>等原</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相关医疗服务价格项目（详见附件2）。</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方正黑体_GBK" w:hAnsi="方正黑体_GBK" w:eastAsia="方正黑体_GBK" w:cs="方正黑体_GBK"/>
          <w:snapToGrid w:val="0"/>
          <w:kern w:val="0"/>
          <w:sz w:val="32"/>
          <w:szCs w:val="32"/>
          <w:shd w:val="clear" w:color="auto" w:fill="FFFFFF"/>
          <w:lang w:bidi="ar"/>
        </w:rPr>
      </w:pPr>
      <w:r>
        <w:rPr>
          <w:rFonts w:hint="eastAsia" w:ascii="方正黑体_GBK" w:hAnsi="方正黑体_GBK" w:eastAsia="方正黑体_GBK" w:cs="方正黑体_GBK"/>
          <w:snapToGrid w:val="0"/>
          <w:kern w:val="0"/>
          <w:sz w:val="32"/>
          <w:szCs w:val="32"/>
          <w:shd w:val="clear" w:color="auto" w:fill="FFFFFF"/>
          <w:lang w:bidi="ar"/>
        </w:rPr>
        <w:t>二、明确医保支付政策</w:t>
      </w:r>
    </w:p>
    <w:p>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val="en-US" w:eastAsia="zh-CN" w:bidi="ar"/>
        </w:rPr>
      </w:pPr>
      <w:r>
        <w:rPr>
          <w:rFonts w:hint="eastAsia" w:ascii="Times New Roman" w:hAnsi="Times New Roman" w:eastAsia="方正仿宋_GBK" w:cs="方正仿宋_GBK"/>
          <w:snapToGrid w:val="0"/>
          <w:kern w:val="0"/>
          <w:sz w:val="32"/>
          <w:szCs w:val="32"/>
          <w:shd w:val="clear" w:color="auto" w:fill="FFFFFF"/>
          <w:lang w:val="en-US" w:eastAsia="zh-CN" w:bidi="ar-SA"/>
        </w:rPr>
        <w:t>综合考虑临床需要、基金支付能力和价格等因素，兼顾医保政策延续性，明确</w:t>
      </w:r>
      <w:r>
        <w:rPr>
          <w:rFonts w:hint="eastAsia" w:ascii="Times New Roman" w:hAnsi="Times New Roman" w:eastAsia="方正仿宋_GBK" w:cs="方正仿宋_GBK"/>
          <w:snapToGrid w:val="0"/>
          <w:kern w:val="0"/>
          <w:sz w:val="32"/>
          <w:szCs w:val="32"/>
          <w:shd w:val="clear" w:color="auto" w:fill="FFFFFF"/>
          <w:lang w:val="en-US" w:eastAsia="zh-CN" w:bidi="ar"/>
        </w:rPr>
        <w:t>口腔类、颌面外科类医疗服务价格项目</w:t>
      </w:r>
      <w:r>
        <w:rPr>
          <w:rFonts w:hint="eastAsia" w:ascii="Times New Roman" w:hAnsi="Times New Roman" w:eastAsia="方正仿宋_GBK" w:cs="方正仿宋_GBK"/>
          <w:snapToGrid w:val="0"/>
          <w:kern w:val="0"/>
          <w:sz w:val="32"/>
          <w:szCs w:val="32"/>
          <w:shd w:val="clear" w:color="auto" w:fill="FFFFFF"/>
          <w:lang w:val="en-US" w:eastAsia="zh-CN" w:bidi="ar-SA"/>
        </w:rPr>
        <w:t>医保支付类别（详见附件1）。</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方正黑体_GBK" w:hAnsi="方正黑体_GBK" w:eastAsia="方正黑体_GBK" w:cs="方正黑体_GBK"/>
          <w:snapToGrid w:val="0"/>
          <w:kern w:val="0"/>
          <w:sz w:val="32"/>
          <w:szCs w:val="32"/>
          <w:shd w:val="clear" w:color="auto" w:fill="FFFFFF"/>
          <w:lang w:bidi="ar"/>
        </w:rPr>
      </w:pPr>
      <w:r>
        <w:rPr>
          <w:rFonts w:hint="eastAsia" w:ascii="方正黑体_GBK" w:hAnsi="方正黑体_GBK" w:eastAsia="方正黑体_GBK" w:cs="方正黑体_GBK"/>
          <w:snapToGrid w:val="0"/>
          <w:kern w:val="0"/>
          <w:sz w:val="32"/>
          <w:szCs w:val="32"/>
          <w:shd w:val="clear" w:color="auto" w:fill="FFFFFF"/>
          <w:lang w:bidi="ar"/>
        </w:rPr>
        <w:t>三、有关要求</w:t>
      </w:r>
    </w:p>
    <w:p>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一）各公立医疗机构应按时做好医疗服务价格项目的相关调整工作，规范诊疗行为，不得扩大收费范围，凡在项目中包含的服务内容及耗材不得单独收费。要严格按规定执行明码标价和医疗费用明细清单制度，通过电子显示屏等多种方式向患者公示医疗服务价格，做好患者沟通解释工作，自觉接受社会监督。</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（二）各区县医保部门要督促辖区内公立医疗机构执行规范后的医疗服务价格项目，做好宣传解释工作，加强调研和现场检查核查，确保政策执行不走样。遇有重大问题及时向市医保局反馈。</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黑体_GBK" w:cs="方正黑体_GBK"/>
          <w:snapToGrid w:val="0"/>
          <w:kern w:val="0"/>
          <w:sz w:val="32"/>
          <w:szCs w:val="32"/>
          <w:shd w:val="clear" w:color="auto" w:fill="FFFFFF"/>
          <w:lang w:bidi="ar"/>
        </w:rPr>
      </w:pPr>
      <w:r>
        <w:rPr>
          <w:rFonts w:hint="eastAsia" w:ascii="Times New Roman" w:hAnsi="Times New Roman" w:eastAsia="方正黑体_GBK" w:cs="方正黑体_GBK"/>
          <w:snapToGrid w:val="0"/>
          <w:kern w:val="0"/>
          <w:sz w:val="32"/>
          <w:szCs w:val="32"/>
          <w:shd w:val="clear" w:color="auto" w:fill="FFFFFF"/>
          <w:lang w:bidi="ar"/>
        </w:rPr>
        <w:t>四、本通知自2026年</w:t>
      </w:r>
      <w:r>
        <w:rPr>
          <w:rFonts w:hint="eastAsia" w:ascii="Times New Roman" w:hAnsi="Times New Roman" w:eastAsia="方正黑体_GBK" w:cs="方正黑体_GBK"/>
          <w:snapToGrid w:val="0"/>
          <w:kern w:val="0"/>
          <w:sz w:val="32"/>
          <w:szCs w:val="32"/>
          <w:shd w:val="clear" w:color="auto" w:fill="FFFFFF"/>
          <w:lang w:val="en-US" w:eastAsia="zh-CN" w:bidi="ar"/>
        </w:rPr>
        <w:t>10</w:t>
      </w:r>
      <w:r>
        <w:rPr>
          <w:rFonts w:hint="eastAsia" w:ascii="Times New Roman" w:hAnsi="Times New Roman" w:eastAsia="方正黑体_GBK" w:cs="方正黑体_GBK"/>
          <w:snapToGrid w:val="0"/>
          <w:kern w:val="0"/>
          <w:sz w:val="32"/>
          <w:szCs w:val="32"/>
          <w:shd w:val="clear" w:color="auto" w:fill="FFFFFF"/>
          <w:lang w:bidi="ar"/>
        </w:rPr>
        <w:t>月</w:t>
      </w:r>
      <w:r>
        <w:rPr>
          <w:rFonts w:hint="eastAsia" w:ascii="Times New Roman" w:hAnsi="Times New Roman" w:eastAsia="方正黑体_GBK" w:cs="方正黑体_GBK"/>
          <w:snapToGrid w:val="0"/>
          <w:kern w:val="0"/>
          <w:sz w:val="32"/>
          <w:szCs w:val="32"/>
          <w:shd w:val="clear" w:color="auto" w:fill="FFFFFF"/>
          <w:lang w:val="en-US" w:eastAsia="zh-CN" w:bidi="ar"/>
        </w:rPr>
        <w:t>15</w:t>
      </w:r>
      <w:r>
        <w:rPr>
          <w:rFonts w:hint="eastAsia" w:ascii="Times New Roman" w:hAnsi="Times New Roman" w:eastAsia="方正黑体_GBK" w:cs="方正黑体_GBK"/>
          <w:snapToGrid w:val="0"/>
          <w:kern w:val="0"/>
          <w:sz w:val="32"/>
          <w:szCs w:val="32"/>
          <w:shd w:val="clear" w:color="auto" w:fill="FFFFFF"/>
          <w:lang w:bidi="ar"/>
        </w:rPr>
        <w:t>日起执行。原政策文件与本通知不符的，以本通知为准。</w:t>
      </w: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p>
    <w:p>
      <w:pPr>
        <w:keepNext w:val="0"/>
        <w:keepLines w:val="0"/>
        <w:pageBreakBefore w:val="0"/>
        <w:widowControl/>
        <w:kinsoku/>
        <w:wordWrap/>
        <w:overflowPunct/>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附件：1</w:t>
      </w:r>
      <w:r>
        <w:rPr>
          <w:rFonts w:hint="eastAsia" w:ascii="Times New Roman" w:hAnsi="Times New Roman" w:eastAsia="方正仿宋_GBK" w:cs="方正仿宋_GBK"/>
          <w:snapToGrid w:val="0"/>
          <w:kern w:val="0"/>
          <w:sz w:val="32"/>
          <w:szCs w:val="32"/>
          <w:shd w:val="clear" w:color="auto" w:fill="FFFFFF"/>
          <w:lang w:val="en-US" w:eastAsia="zh-CN" w:bidi="ar"/>
        </w:rPr>
        <w:t>．</w:t>
      </w:r>
      <w:r>
        <w:rPr>
          <w:rFonts w:hint="eastAsia" w:ascii="Times New Roman" w:hAnsi="Times New Roman" w:eastAsia="方正仿宋_GBK" w:cs="方正仿宋_GBK"/>
          <w:snapToGrid w:val="0"/>
          <w:kern w:val="0"/>
          <w:sz w:val="32"/>
          <w:szCs w:val="32"/>
          <w:shd w:val="clear" w:color="auto" w:fill="FFFFFF"/>
          <w:lang w:eastAsia="zh-CN" w:bidi="ar"/>
        </w:rPr>
        <w:t>口腔类、颌面外科类</w:t>
      </w:r>
      <w:r>
        <w:rPr>
          <w:rFonts w:hint="eastAsia" w:ascii="Times New Roman" w:hAnsi="Times New Roman" w:eastAsia="方正仿宋_GBK" w:cs="方正仿宋_GBK"/>
          <w:snapToGrid w:val="0"/>
          <w:kern w:val="0"/>
          <w:sz w:val="32"/>
          <w:szCs w:val="32"/>
          <w:shd w:val="clear" w:color="auto" w:fill="FFFFFF"/>
          <w:lang w:bidi="ar"/>
        </w:rPr>
        <w:t>医疗服务价格项目表</w:t>
      </w:r>
    </w:p>
    <w:p>
      <w:pPr>
        <w:keepNext w:val="0"/>
        <w:keepLines w:val="0"/>
        <w:pageBreakBefore w:val="0"/>
        <w:widowControl/>
        <w:numPr>
          <w:ilvl w:val="0"/>
          <w:numId w:val="1"/>
        </w:numPr>
        <w:kinsoku/>
        <w:wordWrap/>
        <w:overflowPunct/>
        <w:topLinePunct w:val="0"/>
        <w:autoSpaceDE/>
        <w:autoSpaceDN/>
        <w:bidi w:val="0"/>
        <w:adjustRightInd w:val="0"/>
        <w:snapToGrid w:val="0"/>
        <w:spacing w:line="600" w:lineRule="exact"/>
        <w:ind w:left="2236" w:leftChars="760" w:hanging="640" w:hangingChars="20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停用</w:t>
      </w:r>
      <w:r>
        <w:rPr>
          <w:rFonts w:hint="eastAsia" w:ascii="Times New Roman" w:hAnsi="Times New Roman" w:eastAsia="方正仿宋_GBK" w:cs="方正仿宋_GBK"/>
          <w:snapToGrid w:val="0"/>
          <w:kern w:val="0"/>
          <w:sz w:val="32"/>
          <w:szCs w:val="32"/>
          <w:shd w:val="clear" w:color="auto" w:fill="FFFFFF"/>
          <w:lang w:eastAsia="zh-CN" w:bidi="ar"/>
        </w:rPr>
        <w:t>“真空压力蒸气灭菌手机消毒成本费”</w:t>
      </w:r>
      <w:r>
        <w:rPr>
          <w:rFonts w:hint="eastAsia" w:ascii="Times New Roman" w:hAnsi="Times New Roman" w:eastAsia="方正仿宋_GBK" w:cs="方正仿宋_GBK"/>
          <w:snapToGrid w:val="0"/>
          <w:kern w:val="0"/>
          <w:sz w:val="32"/>
          <w:szCs w:val="32"/>
          <w:shd w:val="clear" w:color="auto" w:fill="FFFFFF"/>
          <w:lang w:bidi="ar"/>
        </w:rPr>
        <w:t>等医</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leftChars="0" w:firstLine="2080" w:firstLineChars="650"/>
        <w:jc w:val="both"/>
        <w:textAlignment w:val="auto"/>
        <w:rPr>
          <w:rFonts w:hint="eastAsia" w:ascii="Times New Roman" w:hAnsi="Times New Roman" w:eastAsia="方正仿宋_GBK" w:cs="方正仿宋_GBK"/>
          <w:snapToGrid w:val="0"/>
          <w:kern w:val="0"/>
          <w:sz w:val="32"/>
          <w:szCs w:val="32"/>
          <w:shd w:val="clear" w:color="auto" w:fill="FFFFFF"/>
          <w:lang w:bidi="ar"/>
        </w:rPr>
      </w:pPr>
      <w:r>
        <w:rPr>
          <w:rFonts w:hint="eastAsia" w:ascii="Times New Roman" w:hAnsi="Times New Roman" w:eastAsia="方正仿宋_GBK" w:cs="方正仿宋_GBK"/>
          <w:snapToGrid w:val="0"/>
          <w:kern w:val="0"/>
          <w:sz w:val="32"/>
          <w:szCs w:val="32"/>
          <w:shd w:val="clear" w:color="auto" w:fill="FFFFFF"/>
          <w:lang w:bidi="ar"/>
        </w:rPr>
        <w:t>疗服务价格项目表</w:t>
      </w:r>
    </w:p>
    <w:p>
      <w:pPr>
        <w:keepNext w:val="0"/>
        <w:keepLines w:val="0"/>
        <w:pageBreakBefore w:val="0"/>
        <w:widowControl/>
        <w:kinsoku/>
        <w:wordWrap/>
        <w:overflowPunct/>
        <w:topLinePunct w:val="0"/>
        <w:autoSpaceDE/>
        <w:autoSpaceDN/>
        <w:bidi w:val="0"/>
        <w:adjustRightInd w:val="0"/>
        <w:snapToGrid w:val="0"/>
        <w:spacing w:line="600" w:lineRule="exact"/>
        <w:ind w:left="2234" w:leftChars="1064" w:firstLine="1600" w:firstLineChars="500"/>
        <w:jc w:val="both"/>
        <w:textAlignment w:val="auto"/>
        <w:rPr>
          <w:rFonts w:hint="eastAsia" w:ascii="Times New Roman" w:hAnsi="Times New Roman" w:eastAsia="方正仿宋_GBK" w:cs="方正仿宋_GBK"/>
          <w:snapToGrid w:val="0"/>
          <w:kern w:val="0"/>
          <w:sz w:val="32"/>
          <w:szCs w:val="32"/>
          <w:shd w:val="clear" w:color="auto" w:fill="FFFFFF"/>
          <w:lang w:eastAsia="zh-CN" w:bidi="ar"/>
        </w:rPr>
      </w:pPr>
    </w:p>
    <w:p>
      <w:pPr>
        <w:keepNext w:val="0"/>
        <w:keepLines w:val="0"/>
        <w:pageBreakBefore w:val="0"/>
        <w:widowControl/>
        <w:kinsoku/>
        <w:wordWrap/>
        <w:overflowPunct/>
        <w:topLinePunct w:val="0"/>
        <w:autoSpaceDE/>
        <w:autoSpaceDN/>
        <w:bidi w:val="0"/>
        <w:adjustRightInd w:val="0"/>
        <w:snapToGrid w:val="0"/>
        <w:spacing w:line="600" w:lineRule="exact"/>
        <w:ind w:left="2234" w:leftChars="1064" w:firstLine="1600" w:firstLineChars="500"/>
        <w:jc w:val="both"/>
        <w:textAlignment w:val="auto"/>
        <w:rPr>
          <w:rFonts w:hint="eastAsia" w:ascii="Times New Roman" w:hAnsi="Times New Roman" w:eastAsia="方正仿宋_GBK" w:cs="方正仿宋_GBK"/>
          <w:snapToGrid w:val="0"/>
          <w:kern w:val="0"/>
          <w:sz w:val="32"/>
          <w:szCs w:val="32"/>
          <w:shd w:val="clear" w:color="auto" w:fill="FFFFFF"/>
          <w:lang w:eastAsia="zh-CN" w:bidi="ar"/>
        </w:rPr>
      </w:pPr>
    </w:p>
    <w:p>
      <w:pPr>
        <w:keepNext w:val="0"/>
        <w:keepLines w:val="0"/>
        <w:pageBreakBefore w:val="0"/>
        <w:widowControl/>
        <w:kinsoku/>
        <w:wordWrap/>
        <w:overflowPunct/>
        <w:topLinePunct w:val="0"/>
        <w:autoSpaceDE/>
        <w:autoSpaceDN/>
        <w:bidi w:val="0"/>
        <w:adjustRightInd w:val="0"/>
        <w:snapToGrid w:val="0"/>
        <w:spacing w:line="600" w:lineRule="exact"/>
        <w:ind w:left="0" w:leftChars="0" w:right="840" w:rightChars="400" w:firstLine="640" w:firstLineChars="200"/>
        <w:jc w:val="right"/>
        <w:textAlignment w:val="auto"/>
        <w:rPr>
          <w:rFonts w:hint="eastAsia" w:ascii="Times New Roman" w:hAnsi="Times New Roman" w:eastAsia="方正仿宋_GBK" w:cs="方正仿宋_GBK"/>
          <w:snapToGrid w:val="0"/>
          <w:kern w:val="0"/>
          <w:sz w:val="32"/>
          <w:szCs w:val="32"/>
          <w:shd w:val="clear" w:color="auto" w:fill="FFFFFF"/>
          <w:lang w:eastAsia="zh-CN" w:bidi="ar"/>
        </w:rPr>
      </w:pPr>
      <w:r>
        <w:rPr>
          <w:rFonts w:hint="eastAsia" w:ascii="Times New Roman" w:hAnsi="Times New Roman" w:eastAsia="方正仿宋_GBK" w:cs="方正仿宋_GBK"/>
          <w:snapToGrid w:val="0"/>
          <w:kern w:val="0"/>
          <w:sz w:val="32"/>
          <w:szCs w:val="32"/>
          <w:shd w:val="clear" w:color="auto" w:fill="FFFFFF"/>
          <w:lang w:eastAsia="zh-CN" w:bidi="ar"/>
        </w:rPr>
        <w:t>重庆市医疗保障局</w:t>
      </w:r>
    </w:p>
    <w:p>
      <w:pPr>
        <w:keepNext w:val="0"/>
        <w:keepLines w:val="0"/>
        <w:pageBreakBefore w:val="0"/>
        <w:widowControl/>
        <w:kinsoku/>
        <w:wordWrap/>
        <w:overflowPunct/>
        <w:topLinePunct w:val="0"/>
        <w:autoSpaceDE/>
        <w:autoSpaceDN/>
        <w:bidi w:val="0"/>
        <w:adjustRightInd w:val="0"/>
        <w:snapToGrid w:val="0"/>
        <w:spacing w:line="600" w:lineRule="exact"/>
        <w:ind w:left="0" w:leftChars="0" w:right="840" w:rightChars="400" w:firstLine="640" w:firstLineChars="200"/>
        <w:jc w:val="center"/>
        <w:textAlignment w:val="auto"/>
        <w:rPr>
          <w:rFonts w:hint="eastAsia" w:ascii="Times New Roman" w:hAnsi="Times New Roman" w:eastAsia="方正仿宋_GBK" w:cs="方正仿宋_GBK"/>
          <w:snapToGrid w:val="0"/>
          <w:kern w:val="0"/>
          <w:sz w:val="32"/>
          <w:szCs w:val="32"/>
          <w:shd w:val="clear" w:color="auto" w:fill="FFFFFF"/>
          <w:lang w:val="en-US" w:eastAsia="zh-CN" w:bidi="ar"/>
        </w:rPr>
      </w:pPr>
      <w:r>
        <w:rPr>
          <w:rFonts w:hint="default" w:ascii="Times New Roman" w:hAnsi="Times New Roman" w:eastAsia="方正仿宋_GBK" w:cs="方正仿宋_GBK"/>
          <w:snapToGrid w:val="0"/>
          <w:kern w:val="0"/>
          <w:sz w:val="32"/>
          <w:szCs w:val="32"/>
          <w:shd w:val="clear" w:color="auto" w:fill="FFFFFF"/>
          <w:lang w:val="en-US" w:eastAsia="zh-CN" w:bidi="ar"/>
        </w:rPr>
        <w:t xml:space="preserve">                              </w:t>
      </w:r>
      <w:r>
        <w:rPr>
          <w:rFonts w:hint="eastAsia" w:ascii="Times New Roman" w:hAnsi="Times New Roman" w:eastAsia="方正仿宋_GBK" w:cs="方正仿宋_GBK"/>
          <w:snapToGrid w:val="0"/>
          <w:kern w:val="0"/>
          <w:sz w:val="32"/>
          <w:szCs w:val="32"/>
          <w:shd w:val="clear" w:color="auto" w:fill="FFFFFF"/>
          <w:lang w:val="en-US" w:eastAsia="zh-CN" w:bidi="ar"/>
        </w:rPr>
        <w:t>2026年8月5日</w:t>
      </w:r>
    </w:p>
    <w:p>
      <w:pPr>
        <w:widowControl/>
        <w:adjustRightInd w:val="0"/>
        <w:snapToGrid w:val="0"/>
        <w:spacing w:line="600" w:lineRule="exact"/>
        <w:ind w:left="1918" w:leftChars="304" w:hanging="1280" w:hangingChars="400"/>
        <w:rPr>
          <w:rFonts w:ascii="Times New Roman" w:hAnsi="Times New Roman" w:eastAsia="方正仿宋_GBK" w:cs="Times New Roman"/>
          <w:kern w:val="0"/>
          <w:sz w:val="32"/>
          <w:szCs w:val="32"/>
          <w:shd w:val="clear" w:color="auto" w:fill="FFFFFF"/>
          <w:lang w:bidi="ar"/>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420" w:firstLineChars="200"/>
        <w:textAlignment w:val="auto"/>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3" w:firstLineChars="200"/>
        <w:textAlignment w:val="auto"/>
        <w:rPr>
          <w:rFonts w:hint="eastAsia" w:ascii="方正黑体_GBK" w:hAnsi="方正黑体_GBK" w:eastAsia="方正黑体_GBK" w:cs="方正黑体_GBK"/>
          <w:kern w:val="0"/>
          <w:sz w:val="32"/>
          <w:szCs w:val="32"/>
          <w:shd w:val="clear" w:color="auto" w:fill="FFFFFF"/>
          <w:lang w:val="en-US" w:eastAsia="zh-CN" w:bidi="ar-SA"/>
        </w:rPr>
      </w:pPr>
    </w:p>
    <w:p>
      <w:pPr>
        <w:rPr>
          <w:rFonts w:hint="eastAsia" w:ascii="方正黑体_GBK" w:hAnsi="方正黑体_GBK" w:eastAsia="方正黑体_GBK" w:cs="方正黑体_GBK"/>
          <w:kern w:val="0"/>
          <w:sz w:val="32"/>
          <w:szCs w:val="32"/>
          <w:shd w:val="clear" w:color="auto" w:fill="FFFFFF"/>
          <w:lang w:val="en-US" w:eastAsia="zh-CN" w:bidi="ar-SA"/>
        </w:rPr>
      </w:pPr>
    </w:p>
    <w:p>
      <w:pPr>
        <w:pStyle w:val="2"/>
        <w:rPr>
          <w:rFonts w:hint="eastAsia" w:ascii="方正黑体_GBK" w:hAnsi="方正黑体_GBK" w:eastAsia="方正黑体_GBK" w:cs="方正黑体_GBK"/>
          <w:kern w:val="0"/>
          <w:sz w:val="32"/>
          <w:szCs w:val="32"/>
          <w:shd w:val="clear" w:color="auto" w:fill="FFFFFF"/>
          <w:lang w:val="en-US" w:eastAsia="zh-CN" w:bidi="ar-SA"/>
        </w:rPr>
      </w:pPr>
    </w:p>
    <w:p>
      <w:pPr>
        <w:rPr>
          <w:rFonts w:hint="eastAsia"/>
          <w:lang w:val="en-US" w:eastAsia="zh-CN"/>
        </w:rPr>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27" w:charSpace="0"/>
        </w:sectPr>
      </w:pPr>
    </w:p>
    <w:p>
      <w:pPr>
        <w:keepNext w:val="0"/>
        <w:keepLines w:val="0"/>
        <w:pageBreakBefore w:val="0"/>
        <w:widowControl w:val="0"/>
        <w:tabs>
          <w:tab w:val="left" w:pos="2407"/>
        </w:tabs>
        <w:kinsoku/>
        <w:wordWrap/>
        <w:overflowPunct/>
        <w:topLinePunct w:val="0"/>
        <w:autoSpaceDE/>
        <w:autoSpaceDN/>
        <w:bidi w:val="0"/>
        <w:adjustRightInd/>
        <w:snapToGrid/>
        <w:spacing w:line="0" w:lineRule="atLeast"/>
        <w:jc w:val="left"/>
        <w:textAlignment w:val="auto"/>
        <w:rPr>
          <w:rFonts w:hint="eastAsia" w:ascii="Times New Roman" w:hAnsi="Times New Roman" w:eastAsia="方正黑体_GBK" w:cs="方正黑体_GBK"/>
          <w:snapToGrid w:val="0"/>
          <w:color w:val="000000"/>
          <w:kern w:val="0"/>
          <w:sz w:val="36"/>
          <w:szCs w:val="36"/>
          <w:lang w:bidi="ar"/>
        </w:rPr>
      </w:pPr>
      <w:r>
        <w:rPr>
          <w:rFonts w:hint="eastAsia" w:ascii="Times New Roman" w:hAnsi="Times New Roman" w:eastAsia="方正黑体_GBK" w:cs="方正黑体_GBK"/>
          <w:snapToGrid w:val="0"/>
          <w:color w:val="000000"/>
          <w:kern w:val="0"/>
          <w:sz w:val="36"/>
          <w:szCs w:val="36"/>
          <w:lang w:bidi="ar"/>
        </w:rPr>
        <w:t>附件1</w:t>
      </w:r>
    </w:p>
    <w:p>
      <w:pPr>
        <w:keepNext w:val="0"/>
        <w:keepLines w:val="0"/>
        <w:pageBreakBefore w:val="0"/>
        <w:widowControl/>
        <w:kinsoku/>
        <w:wordWrap/>
        <w:overflowPunct/>
        <w:topLinePunct w:val="0"/>
        <w:autoSpaceDE/>
        <w:autoSpaceDN/>
        <w:bidi w:val="0"/>
        <w:adjustRightInd w:val="0"/>
        <w:snapToGrid w:val="0"/>
        <w:spacing w:line="600" w:lineRule="exact"/>
        <w:ind w:firstLine="1040" w:firstLineChars="200"/>
        <w:jc w:val="center"/>
        <w:textAlignment w:val="auto"/>
        <w:rPr>
          <w:rFonts w:hint="eastAsia" w:ascii="方正小标宋_GBK" w:hAnsi="方正小标宋_GBK" w:eastAsia="方正小标宋_GBK" w:cs="方正小标宋_GBK"/>
          <w:snapToGrid w:val="0"/>
          <w:kern w:val="0"/>
          <w:sz w:val="52"/>
          <w:szCs w:val="52"/>
          <w:shd w:val="clear" w:color="auto" w:fill="FFFFFF"/>
          <w:lang w:bidi="ar"/>
        </w:rPr>
      </w:pPr>
      <w:r>
        <w:rPr>
          <w:rFonts w:hint="eastAsia" w:ascii="方正小标宋_GBK" w:hAnsi="方正小标宋_GBK" w:eastAsia="方正小标宋_GBK" w:cs="方正小标宋_GBK"/>
          <w:snapToGrid w:val="0"/>
          <w:kern w:val="0"/>
          <w:sz w:val="52"/>
          <w:szCs w:val="52"/>
          <w:shd w:val="clear" w:color="auto" w:fill="FFFFFF"/>
          <w:lang w:eastAsia="zh-CN" w:bidi="ar"/>
        </w:rPr>
        <w:t>口腔类、颌面外科类</w:t>
      </w:r>
      <w:r>
        <w:rPr>
          <w:rFonts w:hint="eastAsia" w:ascii="方正小标宋_GBK" w:hAnsi="方正小标宋_GBK" w:eastAsia="方正小标宋_GBK" w:cs="方正小标宋_GBK"/>
          <w:snapToGrid w:val="0"/>
          <w:kern w:val="0"/>
          <w:sz w:val="52"/>
          <w:szCs w:val="52"/>
          <w:shd w:val="clear" w:color="auto" w:fill="FFFFFF"/>
          <w:lang w:bidi="ar"/>
        </w:rPr>
        <w:t>医疗服务价格项目表</w:t>
      </w:r>
    </w:p>
    <w:tbl>
      <w:tblPr>
        <w:tblStyle w:val="8"/>
        <w:tblW w:w="502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6"/>
        <w:gridCol w:w="1922"/>
        <w:gridCol w:w="1421"/>
        <w:gridCol w:w="1640"/>
        <w:gridCol w:w="2829"/>
        <w:gridCol w:w="578"/>
        <w:gridCol w:w="3841"/>
        <w:gridCol w:w="1429"/>
        <w:gridCol w:w="1463"/>
        <w:gridCol w:w="1265"/>
        <w:gridCol w:w="1703"/>
        <w:gridCol w:w="535"/>
        <w:gridCol w:w="1003"/>
        <w:gridCol w:w="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433" w:hRule="atLeast"/>
          <w:tblHeader/>
          <w:jc w:val="center"/>
        </w:trPr>
        <w:tc>
          <w:tcPr>
            <w:tcW w:w="1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序号</w:t>
            </w:r>
          </w:p>
        </w:tc>
        <w:tc>
          <w:tcPr>
            <w:tcW w:w="45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项目编码</w:t>
            </w:r>
          </w:p>
        </w:tc>
        <w:tc>
          <w:tcPr>
            <w:tcW w:w="3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项目名称</w:t>
            </w:r>
          </w:p>
        </w:tc>
        <w:tc>
          <w:tcPr>
            <w:tcW w:w="3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服务产出</w:t>
            </w:r>
          </w:p>
        </w:tc>
        <w:tc>
          <w:tcPr>
            <w:tcW w:w="6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价格构成</w:t>
            </w:r>
          </w:p>
        </w:tc>
        <w:tc>
          <w:tcPr>
            <w:tcW w:w="1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计价单位</w:t>
            </w:r>
          </w:p>
        </w:tc>
        <w:tc>
          <w:tcPr>
            <w:tcW w:w="91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计价说明</w:t>
            </w:r>
          </w:p>
        </w:tc>
        <w:tc>
          <w:tcPr>
            <w:tcW w:w="13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政府指导价</w:t>
            </w:r>
          </w:p>
        </w:tc>
        <w:tc>
          <w:tcPr>
            <w:tcW w:w="12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医保属性</w:t>
            </w:r>
          </w:p>
        </w:tc>
        <w:tc>
          <w:tcPr>
            <w:tcW w:w="2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kern w:val="0"/>
                <w:sz w:val="15"/>
                <w:szCs w:val="15"/>
                <w:u w:val="none"/>
                <w:lang w:val="en-US" w:eastAsia="zh-CN" w:bidi="ar"/>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医保支付</w:t>
            </w:r>
          </w:p>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限制</w:t>
            </w: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kern w:val="0"/>
                <w:sz w:val="15"/>
                <w:szCs w:val="15"/>
                <w:u w:val="none"/>
                <w:lang w:val="en-US" w:eastAsia="zh-CN" w:bidi="ar"/>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归集</w:t>
            </w:r>
          </w:p>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口径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tblHeader/>
          <w:jc w:val="center"/>
        </w:trPr>
        <w:tc>
          <w:tcPr>
            <w:tcW w:w="1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45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3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方正黑体_GBK" w:hAnsi="方正黑体_GBK" w:eastAsia="方正黑体_GBK" w:cs="方正黑体_GBK"/>
                <w:b w:val="0"/>
                <w:bCs w:val="0"/>
                <w:i w:val="0"/>
                <w:iCs w:val="0"/>
                <w:color w:val="auto"/>
                <w:sz w:val="15"/>
                <w:szCs w:val="15"/>
                <w:u w:val="none"/>
              </w:rPr>
            </w:pPr>
          </w:p>
        </w:tc>
        <w:tc>
          <w:tcPr>
            <w:tcW w:w="3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6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1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91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三级医院</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二级医院</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z w:val="15"/>
                <w:szCs w:val="15"/>
                <w:u w:val="none"/>
              </w:rPr>
            </w:pPr>
            <w:r>
              <w:rPr>
                <w:rFonts w:hint="eastAsia" w:ascii="方正黑体_GBK" w:hAnsi="方正黑体_GBK" w:eastAsia="方正黑体_GBK" w:cs="方正黑体_GBK"/>
                <w:b w:val="0"/>
                <w:bCs w:val="0"/>
                <w:i w:val="0"/>
                <w:iCs w:val="0"/>
                <w:color w:val="auto"/>
                <w:kern w:val="0"/>
                <w:sz w:val="15"/>
                <w:szCs w:val="15"/>
                <w:u w:val="none"/>
                <w:lang w:val="en-US" w:eastAsia="zh-CN" w:bidi="ar"/>
              </w:rPr>
              <w:t>一级医院</w:t>
            </w:r>
          </w:p>
        </w:tc>
        <w:tc>
          <w:tcPr>
            <w:tcW w:w="401" w:type="pct"/>
            <w:tcBorders>
              <w:top w:val="single" w:color="000000" w:sz="4" w:space="0"/>
              <w:left w:val="single" w:color="000000" w:sz="4" w:space="0"/>
              <w:bottom w:val="single" w:color="000000" w:sz="4" w:space="0"/>
              <w:right w:val="single" w:color="000000" w:sz="4" w:space="0"/>
            </w:tcBorders>
            <w:shd w:val="clear" w:color="auto" w:fill="auto"/>
            <w:tcFitText/>
            <w:vAlign w:val="center"/>
          </w:tcPr>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pacing w:val="0"/>
                <w:kern w:val="0"/>
                <w:sz w:val="15"/>
                <w:szCs w:val="15"/>
                <w:u w:val="none"/>
                <w:lang w:val="en-US" w:eastAsia="zh-CN" w:bidi="ar"/>
              </w:rPr>
            </w:pPr>
            <w:r>
              <w:rPr>
                <w:rFonts w:hint="eastAsia" w:ascii="方正黑体_GBK" w:hAnsi="方正黑体_GBK" w:eastAsia="方正黑体_GBK" w:cs="方正黑体_GBK"/>
                <w:b w:val="0"/>
                <w:bCs w:val="0"/>
                <w:i w:val="0"/>
                <w:iCs w:val="0"/>
                <w:color w:val="auto"/>
                <w:spacing w:val="61"/>
                <w:w w:val="87"/>
                <w:kern w:val="0"/>
                <w:sz w:val="15"/>
                <w:szCs w:val="15"/>
                <w:u w:val="none"/>
                <w:lang w:val="en-US" w:eastAsia="zh-CN" w:bidi="ar"/>
              </w:rPr>
              <w:t>其他医疗机</w:t>
            </w:r>
            <w:r>
              <w:rPr>
                <w:rFonts w:hint="eastAsia" w:ascii="方正黑体_GBK" w:hAnsi="方正黑体_GBK" w:eastAsia="方正黑体_GBK" w:cs="方正黑体_GBK"/>
                <w:b w:val="0"/>
                <w:bCs w:val="0"/>
                <w:i w:val="0"/>
                <w:iCs w:val="0"/>
                <w:color w:val="auto"/>
                <w:spacing w:val="0"/>
                <w:w w:val="87"/>
                <w:kern w:val="0"/>
                <w:sz w:val="15"/>
                <w:szCs w:val="15"/>
                <w:u w:val="none"/>
                <w:lang w:val="en-US" w:eastAsia="zh-CN" w:bidi="ar"/>
              </w:rPr>
              <w:t>构</w:t>
            </w:r>
          </w:p>
          <w:p>
            <w:pPr>
              <w:keepNext w:val="0"/>
              <w:keepLines w:val="0"/>
              <w:widowControl/>
              <w:suppressLineNumbers w:val="0"/>
              <w:snapToGrid w:val="0"/>
              <w:ind w:left="0" w:leftChars="0" w:right="0" w:rightChars="0" w:firstLine="0" w:firstLineChars="0"/>
              <w:jc w:val="center"/>
              <w:textAlignment w:val="center"/>
              <w:rPr>
                <w:rFonts w:hint="eastAsia" w:ascii="方正黑体_GBK" w:hAnsi="方正黑体_GBK" w:eastAsia="方正黑体_GBK" w:cs="方正黑体_GBK"/>
                <w:b w:val="0"/>
                <w:bCs w:val="0"/>
                <w:i w:val="0"/>
                <w:iCs w:val="0"/>
                <w:color w:val="auto"/>
                <w:spacing w:val="0"/>
                <w:sz w:val="15"/>
                <w:szCs w:val="15"/>
                <w:u w:val="none"/>
              </w:rPr>
            </w:pPr>
            <w:r>
              <w:rPr>
                <w:rFonts w:hint="eastAsia" w:ascii="方正黑体_GBK" w:hAnsi="方正黑体_GBK" w:eastAsia="方正黑体_GBK" w:cs="方正黑体_GBK"/>
                <w:b w:val="0"/>
                <w:bCs w:val="0"/>
                <w:i w:val="0"/>
                <w:iCs w:val="0"/>
                <w:color w:val="auto"/>
                <w:spacing w:val="0"/>
                <w:kern w:val="0"/>
                <w:sz w:val="15"/>
                <w:szCs w:val="15"/>
                <w:u w:val="none"/>
                <w:lang w:val="en-US" w:eastAsia="zh-CN" w:bidi="ar"/>
              </w:rPr>
              <w:t>（含基层医疗机构）</w:t>
            </w:r>
          </w:p>
        </w:tc>
        <w:tc>
          <w:tcPr>
            <w:tcW w:w="12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2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方正黑体_GBK" w:hAnsi="方正黑体_GBK" w:eastAsia="方正黑体_GBK" w:cs="方正黑体_GBK"/>
                <w:b w:val="0"/>
                <w:bCs w:val="0"/>
                <w:i w:val="0"/>
                <w:iCs w:val="0"/>
                <w:color w:val="auto"/>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53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ind w:left="0" w:leftChars="0" w:right="0" w:rightChars="0" w:firstLine="0" w:firstLineChars="0"/>
              <w:jc w:val="center"/>
              <w:rPr>
                <w:rFonts w:hint="eastAsia" w:ascii="Times New Roman" w:hAnsi="Times New Roman" w:eastAsia="方正仿宋_GB2312" w:cs="宋体"/>
                <w:b w:val="0"/>
                <w:bCs/>
                <w:i w:val="0"/>
                <w:iCs w:val="0"/>
                <w:color w:val="auto"/>
                <w:sz w:val="16"/>
                <w:szCs w:val="16"/>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b w:val="0"/>
                <w:bCs/>
                <w:i w:val="0"/>
                <w:iCs w:val="0"/>
                <w:color w:val="auto"/>
                <w:sz w:val="16"/>
                <w:szCs w:val="16"/>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b w:val="0"/>
                <w:bCs/>
                <w:i w:val="0"/>
                <w:iCs w:val="0"/>
                <w:color w:val="auto"/>
                <w:sz w:val="16"/>
                <w:szCs w:val="16"/>
                <w:u w:val="none"/>
              </w:rPr>
            </w:pPr>
            <w:r>
              <w:rPr>
                <w:rFonts w:hint="eastAsia" w:ascii="Times New Roman" w:hAnsi="Times New Roman" w:eastAsia="方正仿宋_GB2312" w:cs="方正仿宋_GB2312"/>
                <w:b w:val="0"/>
                <w:bCs/>
                <w:i w:val="0"/>
                <w:iCs w:val="0"/>
                <w:color w:val="auto"/>
                <w:kern w:val="0"/>
                <w:sz w:val="16"/>
                <w:szCs w:val="16"/>
                <w:u w:val="none"/>
                <w:lang w:val="en-US" w:eastAsia="zh-CN" w:bidi="ar"/>
              </w:rPr>
              <w:t>口腔类</w:t>
            </w:r>
          </w:p>
        </w:tc>
        <w:tc>
          <w:tcPr>
            <w:tcW w:w="349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b w:val="0"/>
                <w:bCs/>
                <w:i w:val="0"/>
                <w:iCs w:val="0"/>
                <w:color w:val="auto"/>
                <w:sz w:val="16"/>
                <w:szCs w:val="16"/>
                <w:u w:val="none"/>
              </w:rPr>
            </w:pPr>
            <w:r>
              <w:rPr>
                <w:rFonts w:hint="eastAsia" w:ascii="Times New Roman" w:hAnsi="Times New Roman" w:eastAsia="方正仿宋_GB2312" w:cs="方正仿宋_GB2312"/>
                <w:b w:val="0"/>
                <w:bCs/>
                <w:i w:val="0"/>
                <w:iCs w:val="0"/>
                <w:color w:val="auto"/>
                <w:kern w:val="0"/>
                <w:sz w:val="15"/>
                <w:szCs w:val="15"/>
                <w:u w:val="none"/>
                <w:lang w:val="en-US" w:eastAsia="zh-CN" w:bidi="ar"/>
              </w:rPr>
              <w:t>使用说明：</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1.本类项目以口腔治疗为重点，按照口腔治疗方式设立价格项目。根据《深化医疗服务价格改革试点方案》（医保发〔2021〕41号）“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要求，各类口腔类项目在操作层面存在差异，但在价格项目和定价水平层面具备合并同类项的条件，立项指南对目前常用的口腔类项目进行了合并。所定价格是政府指导价为最高限价，下浮不限；同时，医疗机构、医务人员实施治疗过程中有关创新改良，采取“现有项目兼容”的方式简化处理，无需申报新增医疗服务价格项目，经向本地区医保部门备案后可按照对应的项目执行。</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2.本类项目所称的“价格构成”，指项目价格应涵盖的各类资源消耗，用于确定计价单元的边界，是制定调整项目价格考虑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3.本类项目所称“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4.本类项目所称“扩展项”，指同一项目下以不同方式提供或在不同场景应用时，只扩展价格项目适用范围、不额外加价的一类子项，子项的价格按主项目执行。</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5.本类项目所称“基本物质资源消耗”，指原则上限于不应或不必要与医疗服务项目分割的易耗品，属于医疗服务价格项目应当使用的、市场价格和使用数量相对稳定的医用耗材，包括但不限于各类消杀用品、储存用品、清洁用品、个人防护用品、垃圾处理用品、冲洗液、润滑剂、灌洗液、棉球（卷）、棉签、纱布（垫）、绷带、护垫、衬垫、手术巾（单）、治疗巾（单）、治疗护理盘（包）、注射器、压舌板、滑石粉、防渗漏垫、标签、操作器具、冲洗工具、备皮工具、镍钛锉、口腔盒、印模材、咬合纸、引流条、修复体粘接剂、窝沟封闭剂、耗材粘接剂、充填材料、根管封闭剂、盖髓材料、一次性口杯、一次性吸唾管、氟化物、银锶制剂、酚制剂等。基本物耗成本计入项目价格，不另行收费。除基本物耗以外的其他耗材，按照实际采购价格零差率销售。</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6.本类项目中涉及“包括……”“…… 等”的，属于开放型表述，所指对象不仅局限于表述中列明的事项，也包括未列明的同类事项。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7.医疗机构自行制作设计的包括但不限于如矫治器、保持器、运动护齿等个性化产品，采取“产品化”的价格形成机制，由医疗机构以物料成本、加工服务等为基础，按照适当的成本回收率自主确定价格并销售，不再按制作步骤拆分设立医疗服务价格项目。</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8.口腔种植类立项指南中“口腔内植骨费”项目，扩大其服务产出适用范围，不仅局限种植牙所用，口腔学科中“牙槽骨增量手术费”和“牙周植骨费”可按照此项目执行计费。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9.涉及“复杂”等内涵未尽的表述，除立项指南中已明确的情形外，医院实践中按照“复杂”情形计费的，应以卫生行政主管部门最新版卫生技术规范、临床指南或专家共识中的明确定性为前提。满足复杂情况中的任意一种即算复杂，不同复杂情况不累计叠加收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10.在本医疗机构开展错合矫治治疗时，方案设计属诊查治疗应尽事项，不得同时收取设计费。</w:t>
            </w:r>
            <w:r>
              <w:rPr>
                <w:rFonts w:hint="eastAsia" w:ascii="Times New Roman" w:hAnsi="Times New Roman" w:eastAsia="方正仿宋_GB2312" w:cs="方正仿宋_GB2312"/>
                <w:b w:val="0"/>
                <w:bCs/>
                <w:i w:val="0"/>
                <w:iCs w:val="0"/>
                <w:color w:val="auto"/>
                <w:kern w:val="0"/>
                <w:sz w:val="15"/>
                <w:szCs w:val="15"/>
                <w:u w:val="none"/>
                <w:lang w:val="en-US" w:eastAsia="zh-CN" w:bidi="ar"/>
              </w:rPr>
              <w:br w:type="textWrapping"/>
            </w:r>
            <w:r>
              <w:rPr>
                <w:rFonts w:hint="eastAsia" w:ascii="Times New Roman" w:hAnsi="Times New Roman" w:eastAsia="方正仿宋_GB2312" w:cs="方正仿宋_GB2312"/>
                <w:b w:val="0"/>
                <w:bCs/>
                <w:i w:val="0"/>
                <w:iCs w:val="0"/>
                <w:color w:val="auto"/>
                <w:kern w:val="0"/>
                <w:sz w:val="15"/>
                <w:szCs w:val="15"/>
                <w:u w:val="none"/>
                <w:lang w:val="en-US" w:eastAsia="zh-CN" w:bidi="ar"/>
              </w:rPr>
              <w:t>11.本类项目所称的“儿童”，指6周岁及以下。本类项目儿童加收比例为主项目价格的20%。周岁的计算方法以法律的相关规定为准。</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right"/>
              <w:rPr>
                <w:rFonts w:hint="eastAsia" w:ascii="Times New Roman" w:hAnsi="Times New Roman" w:eastAsia="方正仿宋_GB2312" w:cs="方正仿宋_GB2312"/>
                <w:b w:val="0"/>
                <w:bCs/>
                <w:i w:val="0"/>
                <w:iCs w:val="0"/>
                <w:color w:val="auto"/>
                <w:sz w:val="16"/>
                <w:szCs w:val="16"/>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right"/>
              <w:rPr>
                <w:rFonts w:hint="eastAsia" w:ascii="Times New Roman" w:hAnsi="Times New Roman" w:eastAsia="方正仿宋_GB2312" w:cs="方正仿宋_GB2312"/>
                <w:b w:val="0"/>
                <w:bCs/>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right"/>
              <w:rPr>
                <w:rFonts w:hint="eastAsia" w:ascii="Times New Roman" w:hAnsi="Times New Roman" w:eastAsia="方正仿宋_GB2312" w:cs="方正仿宋_GB2312"/>
                <w:b w:val="0"/>
                <w:bCs/>
                <w:i w:val="0"/>
                <w:iCs w:val="0"/>
                <w:color w:val="auto"/>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乳牙期错合矫治费（常规）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通过矫治器安装调整进行乳牙错合畸形的早期矫治。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4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乳牙期错合矫治费（复杂）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通过矫治器安装调整进行疑难复杂情况的乳牙错合畸形的早期矫治。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1.本项目所称“复杂”指：骨性Ⅲ类、上颌或上牙弓狭窄、伴颅颌面先天畸形、后牙反合或锁合的情况。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3713.6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替牙期Ⅰ类错合矫治费（常规）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通过矫治器安装调整进行替牙期Ⅰ类错合畸形的早期矫治。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7513.6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替牙期Ⅰ类错合矫治费（复杂）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通过矫治器安装调整进行疑难复杂情况的替牙期Ⅰ类错合畸形的早期矫治。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1.本项目所称“复杂”指：开合、后牙反合、Ⅲ度深覆合、后牙锁合、上颌前突（ANB≥7度）或下颌前突（ANB≤0度）、伴颅颌面畸形、伴颞下颌关节病、阻生牙的情况。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替牙期Ⅱ类错合矫治费（常规）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通过矫治器安装调整进行替牙期Ⅱ类错合畸形的早期矫治。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9800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替牙期Ⅱ类错合矫治费（复杂）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通过矫治器安装调整进行疑难复杂情况的替牙期Ⅱ类错合畸形的早期矫治。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1.本项目所称“复杂”指：开合、后牙反合、Ⅲ度深覆合、后牙锁合、严重上颌前突（ANB≥7度）、伴颅颌面畸形、伴颞下颌关节病、阻生牙的情况。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10636.4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3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替牙期Ⅲ类错合矫治费（常规）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通过矫治器安装调整进行替牙期Ⅲ类错合畸形的早期矫治。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61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替牙期Ⅲ类错合矫治费（复杂）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通过矫治器安装调整进行疑难复杂情况的替牙期Ⅲ类错合畸形的早期矫治。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1.本项目所称“复杂”指：开合、Ⅲ度深覆合、后牙反合、后牙锁合、下颌前突（ANB≤0度）、伴颅颌面畸形、伴颞下颌关节病、阻生牙的情况。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12954.5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12272.7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7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恒牙期Ⅰ类错合矫治费（常规）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通过矫治器安装调整进行恒牙期Ⅰ类错合畸形的矫治。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16727.3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15890.9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15054.5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6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4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恒牙期Ⅰ类错合矫治费（复杂）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通过矫治器安装调整进行疑难复杂情况的恒牙期Ⅰ类错合畸形的矫治。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2"/>
              </w:numPr>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本项目所称“复杂”指：18岁以上（不含18岁）、开合、Ⅲ度深覆合、拔磨牙后关闭间隙、磨牙或牙弓远中移动、阻生牙、伴颅颌面畸形、伴颞下颌关节病、正畸-正颌手术联合治疗、舌侧矫治的情况。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2.在同一家医疗机构正畸治疗结束，复发病例再次矫治，每例按疗程费用的50%计价收费。</w:t>
            </w:r>
          </w:p>
          <w:p>
            <w:pPr>
              <w:keepNext w:val="0"/>
              <w:keepLines w:val="0"/>
              <w:widowControl/>
              <w:numPr>
                <w:ilvl w:val="0"/>
                <w:numId w:val="0"/>
              </w:numPr>
              <w:suppressLineNumbers w:val="0"/>
              <w:snapToGrid w:val="0"/>
              <w:ind w:leftChars="0" w:right="0" w:right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21072.7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19963.6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恒牙期Ⅱ类错合矫治费（常规）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通过矫治器安装调整进行恒牙期Ⅱ类错合畸形的矫治。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19604.5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18572.7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60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恒牙期Ⅱ类错合矫治费（复杂）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通过矫治器安装调整进行疑难复杂情况的恒牙期Ⅱ类错合畸形的矫治。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18岁以上（不含18岁）、开合、Ⅲ度深覆合、拔磨牙后关闭间隙、阻生牙、上颌前突（ANB≥5度）的拔牙正畸治疗、磨牙或牙弓远中移动、伴颅颌面畸形、伴颞下颌关节病、正畸-正颌手术联合治疗、舌侧矫治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29600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恒牙期Ⅲ类错合矫治费（常规）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通过矫治器安装调整进行恒牙期Ⅲ类错合畸形的矫治。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19863.6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恒牙期Ⅲ类错合矫治费（复杂）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通过矫治器安装调整进行疑难复杂情况的恒牙期Ⅲ类错合畸形的矫治。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指：18岁以上（不含18岁）、开合、Ⅲ度深覆合、3颗以上后牙反合、拔磨牙后关闭间隙、阻生牙、下颌前突（ANB≤0度）的拔牙正畸治疗、磨牙或牙弓远中移动、伴颅颌面畸形、伴颞下颌关节病、正畸-正颌手术联合治疗、舌侧矫治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2.在同一家医疗机构正畸治疗结束，复发病例再次矫治，每例按疗程费用的50%计价收费。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3.本项目所称“疗程”指：从错合矫治治疗开始到结束。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30600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26427.3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恒牙期Ⅰ类错合矫形功能治疗费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通过针对性矫治器的安装进行恒牙期Ⅰ类错合畸形的矫形和功能治疗。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本项目所称“疗程”指：从错合矫形治疗开始到结束。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恒牙期Ⅱ类错合矫形功能治疗费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通过针对性矫治器的安装进行恒牙期Ⅱ类错合畸形的矫形和功能治疗。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本项目所称“疗程”指：从错合矫形治疗开始到结束。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7254.5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恒牙期Ⅲ类错合矫形功能治疗费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通过针对性矫治器的安装进行恒牙期Ⅲ类错合畸形的矫形和功能治疗。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本项目所称“疗程”指：从错合矫形治疗开始到结束。</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新生儿唇腭裂术前治疗费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针对婴儿期唇腭裂唇裂术前，通过矫治器安装调整，实现鼻齿槽塑形。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睡眠呼吸暂停综合征口腔正畸辅助治疗费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通过口腔阻鼾器安装调整或扩弓活动矫治，减轻阻塞性睡眠呼吸暂停的症状。</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6909.1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局部正畸矫治费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使用局部矫治器矫治一个象限内的牙齿伸长、倾斜、间隙关闭或开展、微小牙齿移动等矫治。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所定价格涵盖准备、方案设计、矫治器安装、调整评估、加力、拆除、处理用物等步骤所需的人力资源和基本物质资源消耗。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象限•疗程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1.全口共4个象限。</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2.累计价格收费超过全口价格，按照全口价格计价收费。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5890.9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口腔固定保持器安装费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为需要正畸治疗后进行固定保持的患者安装固定保持器。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所定价格涵盖准备、安装、调试、处理用物等步骤所需的人力资源和基本物质资源消耗。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口腔固定保持器拆除费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为需要拆除固定保持器的患者去除固定保持器。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013105020230000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错合畸形治疗设计费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通过各项检查完成错合畸形的诊断与矫治方案设计。</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所定价格涵盖准备、模型制取和灌注、模型测量、面颌像拍照、头影测量分析、制定治疗计划和方案、处理用物等步骤所需的人力资源和基本物质资源消耗。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1.完成1个疗程计价收费1次；在本医疗机构中开展的矫治不得同时收取设计价收费，若已收取“错合畸形治疗设计费”须在错合矫治治疗费用中予以同等费用减免。</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2.不含放射检查费用。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正畸支抗钉植入费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通过将正畸支抗钉植入颌骨协助完成正畸治疗。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所定价格涵盖手术计划、术区准备、消毒、植入、处理用物等步骤所需的人力资源和基本物质资源消耗。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每钉</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正畸支抗钉植入费-儿童（加收）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每钉</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牙根牵引费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通过牵引方法将冠根折或根折的外伤牙齿牵引至龈上。</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所定价格涵盖准备、切开、粘接或制戴、牵引、加力、调整、处理用物等步骤所需的人力资源和基本物质资源消耗。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2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牙髓活力测验费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通过设备检查评估牙髓活力状态。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所定价格涵盖准备、隔离、测验、评估、处理用物等步骤所需的人力资源和基本物质资源消耗。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8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橡皮障隔离费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通过专用的橡皮障套装隔开接受治疗的牙齿与口腔。</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所定价格涵盖准备、隔离、处理用物等步骤所需的人力资源和基本物质资源消耗。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牙体开髓引流费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对于牙髓急症患者仅行开髓引流、牙髓摘除以缓解急性疼痛。</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所定价格涵盖准备、开髓、拔髓、处理用物等步骤所需的人力资源和基本物质资源消耗。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仅限于牙髓急症患者应急处置时收费，在其他牙髓治疗中作为相关项目的价格构成，不单独收费。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牙体开髓引流费-儿童（加收）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仅限于牙髓急症患者应急处置时收费，在其他牙髓治疗中作为相关项目的价格构成，不单独收费。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牙髓失活费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通过失活剂去除牙髓的活性。</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所定价格涵盖准备、开髓、放置失活剂、处理用物等步骤所需的人力资源和基本物质资源消耗。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牙髓失活费-儿童（加收）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干髓治疗费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通过干髓剂使牙髓保持干尸化。</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所定价格涵盖准备、开髓、去除冠髓、放置干髓剂、处理用物等步骤所需的人力资源和基本物质资源消耗。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根管预备费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通过清理扩大根管，清除感染坏死牙髓组织，对根管内部进行清理成形。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所定价格涵盖准备、开髓、拔髓、疏通、测量、预备、处理用物等步骤所需的人力资源和基本物质资源消耗。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1.本项目所称“根管异常”指：中重度弯曲根管、C型根管、根管间交通枝等特殊根管。</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2.二级医院显微根管预备收取200元，其他医院按等级上下浮动。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116.5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根管预备费-儿童（加收）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根管预备费-根管异常（加收）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根管冲洗费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对根管进行冲洗消毒及感染控制。</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所定价格涵盖准备、冲洗、处理用物等步骤所需的人力资源和基本物质资源消耗。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013105010060100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根管冲洗费-根管封药费（扩展）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通过向根管内充填，封闭根管系统。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所定价格涵盖准备、充填、处理用物，必要时加压充填等步骤所需的人力资源和基本物质资源消耗。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1.本项目所称“根管异常”指：中重度弯曲根管、C型根管、根管间交通枝等特殊根管。</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2.二级医院显微根管充填收取200元，其他医院按等级上下浮动。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根管充填费-根管异常（加收）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013105010070100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根管充填费-乳牙根管充填费（扩展）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本项目所称“根管异常”指：中重度弯曲根管、C型根管、根管间交通枝等特殊根管。</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根管再治疗费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针对牙髓治疗后出现的问题进行的治疗。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所定价格涵盖准备、取出、建立通道、处理用物等步骤所需的人力资源和基本物质资源消耗。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根管内异物取出费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取出存留在根管内的异物。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所定价格涵盖准备、确定位置、取出、处理用物等步骤所需的人力资源和基本物质资源消耗。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358.4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339.5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根管内异物取出费-根尖段异物取出（加收）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207.5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根尖诱导成形费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诱导牙根继续发育或根尖封闭。</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所定价格涵盖手术计划、术区准备、消毒、开髓、去除、干燥、诱导、处理用物等步骤所需的人力资源和基本物质资源消耗。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根尖诱导成形费-儿童（加收）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根尖屏障手术费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针对根尖孔未闭合或较宽大的情况，封闭根尖段建立屏障。</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所定价格涵盖手术计划、术区准备、清洁、填充、处理用物等步骤所需的人力资源和基本物质资源消耗。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根尖屏障手术费-儿童（加收）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013306020030100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根尖屏障手术费-髓腔穿孔修补费（扩展）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根尖手术费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通过手术对根尖进行治疗。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所定价格涵盖手术计划、术区准备、消毒、切开、翻瓣、切除、倒预备、倒充填、复位缝合、处理用物等步骤所需的人力资源和基本物质资源消耗。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本项目所称“复杂根尖手术”指：根尖周病损累及邻近重要组织结构（上颌窦、颏孔、下颌神经管、切牙孔）、骨壁完整根尖定位困难的情况。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根尖手术费-儿童（加收）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根尖手术费-复杂根尖手术（加收）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本项目所称“复杂根尖手术”指：根尖周病损累及邻近重要组织结构（上颌窦、颏孔、下颌神经管、切牙孔）、骨壁完整根尖定位困难的情况。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活髓保存治疗费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通过处理暴露牙髓清除感染，保存正常牙髓。</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所定价格涵盖准备、去除、冲洗、盖髓、处理用物等步骤所需的人力资源和基本物质资源消耗。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间接盖髓二级医院收取46元，其他医院按等级上下浮动。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活髓保存治疗费-间接盖髓（减收）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牙髓再生治疗费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清除根管内感染，借助多种方式促进根管内牙髓样组织再生及牙根生长。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所定价格涵盖准备、根管内引血、封闭、处理用物等步骤所需的人力资源和基本物质资源消耗。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牙髓再生治疗费-自体血支架制备（加收）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通过使用填充材料修复牙体缺损。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所定价格涵盖准备、去龋、窝洞制备、充填、粘接固化、塑形、调合、磨光、抛光、处理用物等步骤所需的人力资源和基本物质资源消耗。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1.本项目所称“牙体大面积缺损”指：累及2个及以上牙面的情况。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2.暂封二级医院收取144元，其他医院按等级上下浮动。</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3.银汞合金充填二级医院收取144元，其他医院按等级上下浮动。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牙体缺损直接粘接修复费-牙体大面积缺损（加收）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本项目所称“牙体大面积缺损”指：累及2个及以上牙面的情况。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013105010120012</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牙体缺损直接粘接修复费-暂封（减收）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暂封二级医院收取144元，其他医院按等级上下浮动。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013105010120013</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牙体缺损直接粘接修复费-银汞合金充填（减收）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银汞合金充填二级医院收取144元，其他医院按等级上下浮动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前牙形态修复费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对牙齿美观区域进行形态、颜色、功能的修复。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所定价格涵盖准备、美学设计、比色、窝洞制备、分层堆塑恢复牙齿颜色外形、调𬌗、磨光、抛光、处理用物等步骤所需的人力资源和基本物质资源消耗。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前牙形态修复费-舌腭面形态辅助修复（加收）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窝沟封闭费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封闭牙齿窝沟。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所定价格涵盖准备、清洁、冲洗、酸蚀、干燥、封闭窝沟、光照固化、调合、抛光、处理用物等步骤所需的人力资源和基本物质资源消耗。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氟防龋治疗费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通过涂布氟化物预防龋齿。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所定价格涵盖准备、清洁、涂布、处理用物等步骤所需的人力资源和基本物质资源消耗。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5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牙脱敏治疗费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通过各种方式处理牙面降低牙敏感症状。</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所定价格涵盖准备、清洁、脱敏、处理用物等步骤所需的人力资源和基本物质资源消耗。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牙齿内漂白费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通过在牙齿内部使用药物去除牙齿中的有机着色物而使牙着色变浅。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所定价格涵盖准备、清洁、比色、漂白脱色、处理用物等步骤所需的人力资源和基本物质资源消耗。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1.美容整形常用项目。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2.单次漂白费用不能超过“全口牙齿漂白费”费用。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013105010170100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牙齿内漂白费-牙脱色费（扩展）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1.美容整形常用项目。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2.单次漂白费用不能超过“全口牙齿漂白费”费用。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4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全口牙齿漂白费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通过专用漂白设备及漂白药物对全口牙齿表面进行漂白治疗，使牙齿颜色变浅。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所定价格涵盖准备、牙龈保护、涂布、光照、保护处理、处理用物等步骤所需的人力资源和基本物质资源消耗。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美容整形常用项目。</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013105010180100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全口牙齿漂白费-牙列套漂白费（扩展）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美容整形常用项目。</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预成冠修复费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针对大面积牙体缺损进行预成冠修复。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所定价格涵盖准备、预备、预成冠调改、粘结、调合、处理用物等步骤所需的人力资源和基本物质资源消耗。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牙拔除费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通过手术拔除牙齿。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所定价格涵盖手术计划、术区准备、消毒、分离龈、拔除、取出根、冲洗、清理、止血、处理用物等步骤所需的人力资源和基本物质资源消耗。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本项目所称“复杂牙拔除”指：正常位牙齿因解剖变异、死髓或牙体治疗后其脆性增加、局部慢性炎症刺激使牙槽骨发生致密性改变、牙骨间骨性结合的情况。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牙拔除费-儿童（加收）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牙拔除费-复杂牙拔除（加收）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本项目所称“复杂牙拔除”指：正常位牙齿因解剖变异、死髓或牙体治疗后其脆性增加、局部慢性炎症刺激使牙槽骨发生致密性改变、牙骨间骨性结合的情况。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通过手术拔除各类萌出智齿或高位阻生牙齿。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所定价格涵盖手术计划、术区准备、消毒、翻瓣、分离、分牙、挺松、增隙、拔除、冲洗、清理、缝合、止血、处理用物等步骤所需的人力资源和基本物质资源消耗。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本项目所称“复杂阻生牙拔除”指：被牙龈覆盖的各类阻生牙、完全埋藏颌骨内的各类阻生牙及多生牙的情况。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阻生牙拔除费-复杂阻生牙拔除（加收）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本项目所称“复杂阻生牙拔除”指：被牙龈覆盖的各类阻生牙、完全埋藏颌骨内的各类阻生牙及多生牙的情况。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013306020060100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阻生牙拔除费-多生牙拔除费（扩展）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阻生牙开窗助萌费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通过手术去除阻生牙萌出阻力。</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所定价格涵盖手术计划、术区准备、消毒、切开、显露牙、冲洗、缝合、止血、处理用物等步骤所需的人力资源和基本物质资源消耗。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阻生牙开窗助萌费-儿童（加收）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阻生牙开窗助萌费-骨阻生开窗助萌（加收）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4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阻生牙牙冠切除费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通过手术切除阻生牙牙冠。</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所定价格涵盖手术计划、术区准备、消毒、切开、分离、去骨、截冠、修整、冲洗、缝合、止血、处理用物等步骤所需的人力资源和基本物质资源消耗。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阻生牙牙冠切除费-儿童（加收）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拔牙创搔刮费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通过手术对拔牙创愈合不良的创面进行搔刮、清创处理。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所定价格涵盖手术计划、术区准备、消毒、切开翻瓣、分离、刮除、冲洗、填塞、缝合、处理用物等步骤所需的人力资源和基本物质资源消耗。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仅限于拔牙创愈合不良情况时收费，其他情况不单独收费。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拔牙创搔刮费-儿童（加收）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仅限于拔牙创愈合不良情况时收费，其他情况不单独收费。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阻生牙龈瓣修整费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用于保留、开窗助萌阻生牙修整龈瓣形态，预防感染、创口愈合、维持牙龈形态。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所定价格涵盖手术计划、术区准备、消毒、修整、成形、缝合、处理用物等步骤所需的人力资源和基本物质资源消耗。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阻生牙龈瓣修整费-儿童（加收）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预防性拔牙窝组织封闭费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拔牙后即刻封闭拔牙窝。</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所定价格涵盖手术计划、术区准备、消毒、修整、打磨、重建血运、修整、减张、封闭、缝合、止血、处理用物等步骤所需的人力资源和基本物质资源消耗。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该项目指针对使用抗骨吸收药物、抗血管生成药物、放疗后、骨结构不良、硬化性骨髓炎等牙槽窝愈合不良高危患者，以及拔牙后牙槽嵴保存。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预防性拔牙窝组织封闭费-儿童（加收）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该项目指针对使用抗骨吸收药物、抗血管生成药物、放疗后、骨结构不良、硬化性骨髓炎等牙槽窝愈合不良高危患者，以及拔牙后牙槽嵴保存。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通过手术将自体牙植入牙槽窝。</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所定价格涵盖手术计划、术区准备、消毒、修整、预备、植入、固定、调合、冲洗、缝合、止血、处理用物等步骤所需的人力资源和基本物质资源消耗。不包括供体牙拔除及其他治疗费用。</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013306020120100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牙移植费-牙再植费（扩展）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口腔良性肿物切除费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通过手术切除口腔内的良性肿物。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所定价格涵盖手术计划、术区准备、消毒、切开、解剖、分离、探查切除、冲洗、止血、缝合、处理用物等步骤所需的人力资源和基本物质资源消耗。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口腔良性肿物切除费-儿童（加收）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口腔良性肿物切除费-软组织缺损修复（加收）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口腔系带修整费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通过手术调整口腔系带。</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所定价格涵盖手术计划、术区准备、消毒、切开、修整、缝合、处理用物等步骤所需的人力资源和基本物质资源消耗。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155.2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口腔系带修整费-儿童（加收）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颌骨病变刮切费（口内）</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口内入路治疗颌骨内的良性病变。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所定价格涵盖手术计划、术区准备、消毒、切开、翻瓣、去骨、切除或刮切、化学烧灼、止血、冲洗、骨修整、缝合等操作所需的人力资源和基本物质资源消耗。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颌骨病变刮切费（口内）-儿童（加收）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颌骨病变刮切费（颌面部）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口外入路治疗颌骨内的良性病变。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所定价格涵盖手术计划、术区准备、消毒、切开、翻瓣、去骨、切除或刮切、化学烧灼、止血、冲洗、骨修整、缝合等操作所需的人力资源和基本物质资源消耗。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颌骨病变刮切费（颌面部）-儿童（加收）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颌骨囊肿减压费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通过手术开窗对颌骨囊肿减压。</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所定价格涵盖手术计划、术区准备、消毒、切开、翻瓣、去骨壁、冲洗、缝合、处理用物等步骤所需的人力资源和基本物质资源消耗。不包含拔牙费用。</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颌骨囊肿减压费-儿童（加收）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口腔牵引钉植入费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将牵引钉植入颌骨。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所定价格涵盖手术计划、术区准备、消毒、植入、处理用物等步骤所需的人力资源和基本物质资源消耗。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口腔牵引钉植入费-儿童（加收）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将植入的牵引钉取出。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所定价格涵盖手术计划、术区准备、消毒、拆除、缝合、处理用物等步骤所需的人力资源和基本物质资源消耗。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013306020190001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口腔牵引钉取出费-儿童（加收）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本项目所称“次”：以3枚牵引钉为基础收费，每增加1枚加收30%。10枚及以上牵引钉按10枚牵引钉收费。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口腔骨突修整费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修整骨尖、骨嵴或骨隆突。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所定价格涵盖手术计划、术区准备、消毒、切开、去骨、打磨、冲洗、缝合、处理用物等步骤所需的人力资源和基本物质资源消耗。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本项目所称“复杂骨突”指：一侧上颌结节、下颌舌侧隆突修整、腭部隆突的情况。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口腔骨突修整费-儿童（加收）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013306020200011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口腔骨突修整费-复杂骨突（加收）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本项目所称“复杂骨突”指：一侧上颌结节、下颌舌侧隆突修整、腭部隆突的情况。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通过各种方式将上下颌骨间结扎。</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所定价格涵盖准备、手法复位、固定、结扎、处理用物等步骤所需的人力资源和基本物质资源消耗。不包含牵引钉植入、安装固定装置等。</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209.8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拆除颌间结扎装置。</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颌间结扎拆除费-儿童（加收）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牙槽突骨折复位固定费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通过手术对上下颌牙槽突骨折进行复位固定。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所定价格涵盖手术计划、术区准备、消毒、经口内入路清创、复位、固定、冲洗、缝合、处理用物等步骤所需的人力资源和基本物质资源消耗。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218.4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牙槽突骨折复位固定费-儿童（加收）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脓肿切开引流费（口内）</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切开口内浅表脓肿引流。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所定价格涵盖手术计划、术区准备、消毒、切开、引流、冲洗、处理用物等步骤所需的人力资源和基本物质资源消耗。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脓肿切开引流费（口内）-儿童（加收）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脓肿切开引流费（颌面部）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切开颌面部浅表脓肿引流。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所定价格涵盖手术计划、术区准备、消毒、切开、引流、冲洗、处理用物等步骤所需的人力资源和基本物质资源消耗。不包含口腔颌面颈部间隙感染。</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脓肿切开引流费（颌面部）-儿童（加收）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口腔无回吸辅助治疗费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通过无回吸设备及技术配合牙齿治疗或口腔外科手术。</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所定价格涵盖设备准备、配合磨削、切割、牙体预备或窝洞制备等步骤所需的人力资源和基本物质资源消耗。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市场调节价</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下牙槽神经探查解剖费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通过手术探查解剖下颌管内的下牙槽神经血管束，或利于种植手术。</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所定价格涵盖手术计划、术区准备、消毒、切开、翻瓣、截骨、探查或牵出、复位、覆盖生物膜、缝合、处理用物等步骤所需的人力资源和基本物质资源消耗。不含种植体植入。</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不与同部位其他手术同时收取。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下牙槽神经探查解剖费-儿童（加收）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不与同部位其他手术同时收取。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89.1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下牙槽神经探查解剖费-下牙槽神经移位（加收）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不与同部位其他手术同时收取。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口腔上颌窦瘘修补费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通过手术修补口腔上颌窦交通或口腔上颌窦瘘。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所定价格涵盖手术计划、术区准备、消毒、切开、切除、清创搔刮、分离、去骨、减张、修整、冲洗、止血、填塞、缝合、处理用物等步骤所需的人力资源和基本物质资源消耗。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470.4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406.2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384.8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口腔上颌窦瘘修补费-儿童（加收）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口内游离软组织移植费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通过手术移植局部游离软组织。</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所定价格涵盖手术计划、术区准备、消毒、切开、翻瓣、制备、固定、缝合及处置、处理用物等步骤所需的人力资源和基本物质资源消耗。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口内游离软组织移植费-儿童（加收）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颌位转移检查费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通过装置确定和转移颌位关系，对颌位关系进行检查和评价。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所定价格涵盖准备、检查、颌位确定、颌位转移、建立牙合架、重建颌位关系、美学分析、牙齿排列分析、咬合关系分析、颌位分析、处理用物等步骤所需的人力资源和基本物质资源消耗。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临时固定修复费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在口内制作临时修复体。</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所定价格涵盖准备、预备、制作、试戴、咬合检查、调整、抛光、清洁消毒、粘接、处理用物等步骤所需的人力资源和基本物质资源消耗。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修复体固定修复费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通过固定修复体完成牙体缺损或牙列缺损修复。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所定价格涵盖准备、预备、取印模和模型制备、取咬合关系、比色、试戴、调改、粘固、处理用物等步骤所需的人力资源和基本物质资源消耗。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本项目所称“复杂修复体固定修复”指：Ⅱ度及以上深覆牙合、中重度异色牙、固定修复牙位4颗及以上、牙槽骨重度吸收（大于根长1/3）、伴颞下颌关节病、冠短（至少一面低于5mm）的情况。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2454.6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修复体固定修复费-即刻修复（加收）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1363.7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修复体固定修复费-复杂修复体固定修复（加收）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本项目所称“复杂修复体固定修复”指：Ⅱ度及以上深覆牙合、中重度异色牙、固定修复牙位4颗及以上、牙槽骨重度吸收（大于根长1/3）、伴颞下颌关节病、冠短（至少一面低于5mm）的情况。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1943.2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桩核修复费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通过桩核修复牙体缺损。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所定价格涵盖准备、预备、清理、预备、试戴、消毒、塑核或粘固、桩核修整、处理用物等步骤所需的人力资源和基本物质资源消耗。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桩核修复费-一体化纤维桩核（加收）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3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附着体修复费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通过附着体完成固定活动联合修复中的固定修复部分。</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所定价格涵盖准备、预备、清理、预备、消毒、取印模、模型制备、比色、试戴、调改、粘固、处理用物等步骤所需的人力资源和基本物质资源消耗。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013105170080100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附着体修复费-套筒冠修复费（扩展）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41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全口义齿修复费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通过全口义齿修复牙列缺失。</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所定价格涵盖准备、取印模、制备、确定颌位关系、试排牙蜡型、试戴、调改、处理用物等步骤所需的人力资源和基本物质资源消耗。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本项目所称“复杂全口义齿修复”指：牙槽骨重度吸收（Ⅱ-Ⅳ级）、伴颞下颌关节病、覆盖义齿的情况。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3703.7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3198.7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全口义齿修复费-复杂全口义齿修复（加收）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单颌</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本项目所称“复杂全口义齿修复”指：牙槽骨重度吸收（Ⅱ-Ⅳ级）、伴颞下颌关节病、覆盖义齿的情况。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1851.9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1683.5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0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胶连可摘局部义齿修复费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通过胶连可摘局部义齿修复牙列缺损。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所定价格涵盖准备、预备、取印模、制备、确定颌位关系、试戴、调改、处理用物等步骤所需的人力资源和基本物质资源消耗。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附加牙合垫按牙位计价收费。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270.1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94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铸造支架可摘局部义齿修复费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通过铸造支架可摘局部义齿修复牙列缺损。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所定价格涵盖准备、预备、取印模、制备、试戴、确定颌位关系、试排牙蜡型、调改、处理用物等步骤所需的人力资源和基本物质资源消耗。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铸造支架可摘局部义齿修复”指：单颌缺失牙10颗及以上、牙槽骨重度吸收（Ⅱ-Ⅳ级）、Ⅱ度及以上深覆合、余留牙存在中重度牙周病（牙槽骨吸收大于1/3的牙齿数目占一半以上）、关节盘移位或骨关节病、牙周夹板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2.附加牙合垫或牙周夹板按牙位计价收费。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709.5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580.5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铸造支架可摘局部义齿修复费-复杂铸造支架可摘局部义齿修复（加收）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所称“复杂铸造支架可摘局部义齿修复”指：单颌缺失牙10颗及以上、牙槽骨重度吸收（Ⅱ-Ⅳ级）、Ⅱ度及以上深覆合、余留牙存在中重度牙周病（牙槽骨吸收大于1/3的牙齿数目占一半以上）、关节盘移位或骨关节病、牙周夹板的情况。</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2.附加牙合垫或牙周夹板按牙位计价收费。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354.8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322.5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3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颌骨/腭部缺损赝复体修复费（常规）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通过赝复体修复颌骨/软腭缺损。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所定价格涵盖准备、预备、取印模、制备、试戴、取颌位记录、调改、处理用物等步骤所需的人力资源和基本物质资源消耗。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2147.5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2040.1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1932.8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26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颌骨/腭部缺损赝复体修复费（复杂）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通过赝复体修复复杂情况的颌骨/软腭缺损。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所定价格涵盖准备、预备、取印模、制备、试戴、取颌位记录、试戴、调改、处理用物等步骤所需的人力资源和基本物质资源消耗。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本项目所称“复杂”指：口鼻腔穿通、下颌骨连续性丧失、单颌缺失10颗牙及以上、伴软腭缺损、伴面部缺损、下颌带翼导板、腭护板加辅助放疗装置、全上颌缺失修复的情况。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3543.4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3221.3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3060.2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62"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013105170140000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面部缺损赝复体修复费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通过赝复体修复面部缺损。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所定价格涵盖准备、印模、制备、个性化比色、试戴、个性化上色、调改、处理用物等步骤所需的人力资源和基本物质资源消耗。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如面部缺损涉及多个器官，如眼、耳、鼻缺损，每增加1个器官，按件叠加计价收费。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5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咬合板治疗费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通过戴入咬合板调整咬合关系。</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所定价格涵盖准备、取印模、制备、试戴、调改、处理用物等步骤所需的人力资源和基本物质资源消耗。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弹性咬合板按50%收取。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1909.1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1718.2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咬合板治疗费-减材/增材咬合板（加收）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859.1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013105010230002</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咬合板治疗费-弹性咬合板（减收）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859.1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013105190020000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对固定在口内的修复体进行拆除。</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所定价格涵盖准备、修复体拆除、处理用物等步骤所需的人力资源和基本物质资源消耗。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013105190030000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修复体维护费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对修复体进行调改、修补、再粘接等维护。</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所定价格涵盖准备、取印模、模型制备、修补、试戴、调改、再粘接、处理用物等步骤所需的人力资源和基本物质资源消耗。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1.修理卡环和基托按涉及牙位计价收费。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2.此项适用于非保修保质期内的修复体维护。</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全口牙周系统检查费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通过设备对牙周进行系统检查，并完成系统表记录。</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所定价格涵盖准备、牙周风险评估、记录、处理用物等步骤所需的人力资源和基本物质资源消耗。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77"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牙周探诊费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通过牙周专用刻度探针进行牙周袋深度的测量和判定并记录。</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所定价格涵盖准备、牙周探诊、测量、记录、处理用物等步骤所需的人力资源和基本物质资源消耗。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不与“全口牙周系统检查费”同时收取。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2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牙周指数检查费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检查并记录菌斑指数、出血指数、松动度、根分叉病变。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所定价格涵盖准备、检查、判读、记录、处理用物等步骤所需的人力资源和基本物质资源消耗。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项</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不与“全口牙周系统检查费”同时收取。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牙周冲洗上药费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对牙周袋或智齿盲袋内部进行冲洗、置入药物。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所定价格涵盖准备、冲洗、清除、上药、处理用物等步骤所需的人力资源和基本物质资源消耗。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10"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牙周塞治费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通过塞治剂覆盖创面或辅助龈瓣贴合于骨面、牙面。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所定价格涵盖准备、调配、放置、修整、处理用物等步骤所需的人力资源和基本物质资源消耗。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013105010250100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牙周塞治费-口腔局部止血费（扩展）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龈上洁治费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通过各种方式清除牙龈缘以上的菌斑、牙石及其他沉积物。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所定价格涵盖准备、洁治、处理用物，必要时上药等步骤所需的人力资源和基本物质资源消耗。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同一治疗部位不与“牙周冲洗上药费”同时收取。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龈上洁治费-种植牙洁治（加收）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同一治疗部位不与“牙周冲洗上药费”同时收取。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牙面抛光费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对牙面进行抛光。</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所定价格涵盖准备、抛光、处理用物等步骤所需的人力资源和基本物质资源消耗。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牙面喷砂费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通过喷砂去除位于龈上或龈下的菌斑、色素、牙石。</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所定价格涵盖准备、对牙面/根面喷砂、处理用物等步骤所需的人力资源和基本物质资源消耗。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龈下刮治费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通过各种方式去除龈下牙石、菌斑。</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所定价格涵盖准备、探查、刮治、处理用物等步骤所需的人力资源和基本物质资源消耗。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013105010290001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龈下刮治费-种植体龈下刮治（加收）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根面平整费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通过各种方式去除根面感染病变的牙骨质。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所定价格涵盖手术计划、术区准备、消毒、根面平整，必要时通过设备微创实施、处理用物等步骤所需的人力资源和基本物质资源消耗。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根面平整费-儿童（加收）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松牙固定费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通过各种方式对松动牙齿进行固定。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所定价格涵盖准备、检查、固定、咬合检查、调整、处理用物等步骤所需的人力资源和基本物质资源消耗。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013105010300100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松牙固定费-外伤牙固定费（扩展）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1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松牙固定拆除费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拆除松牙固定装置。</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所定价格涵盖准备、检查、拆除、清理、调整、处理用物等步骤所需的人力资源和基本物质资源消耗。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牙周翻瓣费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通过手术翻开牙龈瓣，进行清创。</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所定价格涵盖制定手术计划、术区准备、消毒、切开、翻瓣、清创、骨修整、复位、缝合、处理用物等步骤所需的人力资源和基本物质资源消耗。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本项目所称“复杂牙周翻瓣”指：根向或冠向复位切口、远中楔形切除、根分叉病变的情况。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143.3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牙周翻瓣费-儿童（加收）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013306020280011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牙周翻瓣费-复杂牙周翻瓣（加收）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本项目所称“复杂牙周翻瓣”指：根向或冠向复位切口、远中楔形切除、根分叉病变的情况。</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牙龈成形费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通过手术切除部分牙龈组织，恢复牙龈生理外形。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所定价格涵盖手术计划、术区准备、消毒、修整、冲洗、止血、塞治、处理用物等步骤所需的人力资源和基本物质资源消耗。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牙龈成形费-儿童（加收）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013306020290100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牙龈成形费-龈瘤切除费（扩展）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游离龈移植费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将自体组织或人工材料异位植入到角化龈不足的牙槽嵴。</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所定价格涵盖手术计划、术区准备、消毒、切开、翻瓣、清创、冲洗、修整、取材、植入、固定、缝合、处理用物等步骤所需的人力资源和基本物质资源消耗。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游离龈移植费-儿童（加收）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186.2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013306020300100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游离龈移植费-上皮下结缔组织移植费（扩展）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引导性牙周组织再生费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通过手术促进牙周组织再生。</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所定价格涵盖手术计划、术区准备、消毒、放置屏障膜并固定、复位、缝合、塞治、处理用物等步骤所需的人力资源和基本物质资源消耗。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引导性牙周组织再生费-儿童（加收）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牙周纤维环状切断费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通过手术切断牙周纤维。</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所定价格涵盖手术计划、术区准备、消毒、切断、止血、塞治、处理用物等步骤所需的人力资源和基本物质资源消耗。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牙周纤维环状切断费-儿童（加收）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皮质骨切开费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通过手术切开牙槽骨唇侧皮质骨板。</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所定价格涵盖手术计划、术区准备、消毒、切开、复位、止血、缝合、处理用物等步骤所需的人力资源和基本物质资源消耗。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皮质骨切开费-儿童（加收）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皮质骨切开费-舌侧（加收）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185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013105010320000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调（牙合）治疗费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通过调整牙齿、修复体接触点或咬合面，改善咬合问题。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所定价格涵盖准备、咬合纸检查、咬合印迹分析、咬合形态调整、处理用物等步骤所需的人力资源和基本物质资源消耗。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在牙体缺损充填或修复治疗中进行的调（牙合 ）已经含入价格构成，不单独收取。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58.4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53.1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50.4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47.8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kern w:val="0"/>
                <w:sz w:val="16"/>
                <w:szCs w:val="16"/>
                <w:u w:val="none"/>
                <w:lang w:val="en-US" w:eastAsia="zh-CN" w:bidi="ar"/>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咬合力检测费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通过各种方式对上下牙齿咀嚼产生的力量进行检测和评价。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所定价格涵盖准备、检查、分析、评价、处理用物等步骤所需的人力资源和基本物质资源消耗。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下颌运动功能检查费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通过各种方式对下颌运动进行检查和评价。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所定价格涵盖准备、检查、分析、评价、处理用物等步骤所需的人力资源和基本物质资源消耗。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咀嚼效率检查费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通过各种方式对咀嚼效率进行检查和评价。</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所定价格涵盖准备、材料准备、残渣收集、处理、分析、评价、处理用物等步骤所需的人力资源和基本物质资源消耗。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012406000090000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唾液腺功能测定费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评估唾液腺分泌能力和功能状态。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所定价格涵盖准备、测定静态和刺激性全唾液流量、出具结果、处理用物等步骤所需的人力资源和基本物质资源消耗。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检查费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1132"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唾液腺药物灌注费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向唾液腺导管内灌注药物。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所定价格涵盖准备、扩张、注射药物、处理用物等步骤所需的人力资源和基本物质资源消耗。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1.唾液腺的非药物性灌注，按此项目收费。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唾液腺导管取石费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通过各种方式将唾液腺导管结石取出。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所定价格涵盖手术计划、术区准备、消毒、探查、切开、取出、处理用物等步骤所需的人力资源和基本物质资源消耗。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唾液腺导管取石费-儿童（加收）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对唾液腺导管进行治疗。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所定价格涵盖手术计划、术区准备、消毒、冲洗、松解、扩张、处理用物等步骤所需的人力资源和基本物质资源消耗。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013306020350001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唾液腺导管治疗费-儿童（加收）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本项目所称“腺体•单侧”指：口腔内每侧每腺体。单侧多个腺体或双侧单个腺体可叠加收费。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013105010350000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口腔黏膜病局部药物治疗费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通过各种方式对口腔黏膜局部病损进行治疗。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所定价格涵盖准备、注射/雾化/湿敷/局部封闭/穴位注射、处理用物等步骤所需的人力资源和基本物质资源消耗。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病灶</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治疗费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snapToGrid w:val="0"/>
              <w:ind w:left="0" w:leftChars="0" w:right="0" w:rightChars="0" w:firstLine="0" w:firstLineChars="0"/>
              <w:jc w:val="center"/>
              <w:rPr>
                <w:rFonts w:hint="eastAsia" w:ascii="Times New Roman" w:hAnsi="Times New Roman" w:eastAsia="宋体" w:cs="宋体"/>
                <w:i w:val="0"/>
                <w:iCs w:val="0"/>
                <w:color w:val="auto"/>
                <w:sz w:val="22"/>
                <w:szCs w:val="22"/>
                <w:u w:val="none"/>
              </w:rPr>
            </w:pP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颌面外科类</w:t>
            </w:r>
          </w:p>
        </w:tc>
        <w:tc>
          <w:tcPr>
            <w:tcW w:w="3498"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使用说明：</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1.本类项目以颌面外科为重点，按照颌面外科相关医疗服务产出设立价格项目。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根据《深化医疗服务价格改革试点方案》（医保发〔2021〕41号）关于“厘清价格项目与临床诊疗技术规范、医疗机构成本要素、不同应用场景和收费标准等的政策边界。分类整合现行价格项目，实现价格项目与操作步骤、诊疗部位等技术细节脱钩，增强现行价格项目对医疗技术和医疗活动改良创新的兼容性”的要求，服务产出相同的一类项目在操作层面存在差异，但在价格项目和定价水平层面具备合并同类项的条件，立项指南对此进行合并。各地医疗保障部门所定价格属于政府指导价为最高限价，下浮不限。同时，医疗机构申报的技术改良进步项目，可采取“现有项目兼容”方式简化处理，无需申报新增医疗服务价格项目，经向本地区医疗保障部门备案后可按照对应的项目执行。</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3.本类项目所称“价格构成”，指项目价格应涵盖的各类资源消耗，用于确定计价单元的边界，是</w:t>
            </w:r>
            <w:bookmarkStart w:id="1" w:name="_GoBack"/>
            <w:bookmarkEnd w:id="1"/>
            <w:r>
              <w:rPr>
                <w:rFonts w:hint="eastAsia" w:ascii="Times New Roman" w:hAnsi="Times New Roman" w:eastAsia="方正仿宋_GB2312" w:cs="方正仿宋_GB2312"/>
                <w:i w:val="0"/>
                <w:iCs w:val="0"/>
                <w:color w:val="auto"/>
                <w:kern w:val="0"/>
                <w:sz w:val="16"/>
                <w:szCs w:val="16"/>
                <w:u w:val="none"/>
                <w:lang w:val="en-US" w:eastAsia="zh-CN" w:bidi="ar"/>
              </w:rPr>
              <w:t>制定调整项目价格的测算因子，不应作为临床技术标准理解，不是实际操作方式、路径、步骤、程序的强制性要求，价格构成中包含但临床实践中非必要、未发生的，无需强制要求公立医疗机构减计费用。所列“设备投入”包括但不限于操作设备、器具及固定资产投入。</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4.本类项目所称“加收项”，指同一项目以不同方式提供或在不同场景应用时，确有必要制定差异化收费标准而细分的一类子项，包括在原项目价格基础上增加或减少收费的情况，实际应用中，同时涉及多个加收项的，以项目单价为基础计算相应的加/减收水平后，据实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5.本类项目所称“扩展项”，指同一项目下以不同方式提供或在不同场景应用时，只扩展价格项目适用范围、不额外加价的一类子项，子项的价格按主项目执行。</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6.本类项目所称"基本物质资源消耗"，指原则上限于不应或不必要与医疗服务项目分割的易耗品，属于医疗服务价格项目应当使用的、市场价格和使用数量相对稳定的医用耗材，包括但不限于各类消杀灭菌用品、储存用品、清洁用品、个人防护用品、垃圾处理用品、冲洗液、润滑剂、灌洗液、棉球（卷）、棉签、纱布（垫）、绷带、护垫、衬垫、手术巾（单）、治疗巾（单）、治疗护理盘（包）、注射器、压舌板、防渗漏垫、标签、可复用的操作器具、冲洗工具、备皮工具、口腔盒、印模材、咬合纸、引流条、一次性口杯、一次性吸唾管、报告打印耗材、软件（版权、开发、购买）成本等。基本物质资源消耗成本计入项目价格，不另行收费。除基本物质资源消耗以外的其他耗材，按照实际采购价格零差率销售。</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7.本类项目中涉及“包括……”“…… 等”的，属于开放型表述，所指对象不仅局限于表述中列明的事项，也包括未列明的同类事项。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8.涉及“复杂”等内涵未尽的表述，除立项指南中已明确的情形外，医院实践中按照“复杂”情形计费的，应以卫生行政主管部门最新版卫生技术规范、临床指南或专家共识中的明确定性为前提。满足复杂情况中的任意一种即算复杂，不同复杂情况不累计叠加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9.本类项目中手术类项目服务对象为儿童时，统一落实儿童加收政策（以下简称“儿童加收”），加收比例为20%。手术类项目的具体范围以《全国医疗服务项目技术规范》的分类为准，对于立项指南同时映射技术规范中的手术类项目和治疗类项目的主项目，按手术类落实儿童加收政策；其他非手术类项目实行儿童加收范围，以立项指南加收项为准。本类项目所称“儿童”，指6周岁及以下，周岁的计算方法以法律的相关规定为准。</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10.本类项目中涉及皮瓣相关手术，按体被系统相关项目收费。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11.本类项目中涉及外切口部缝合的操作均为精细缝合，不再重复收取减张美容缝合费和切口美容改型费。</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96"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通过手术对上颌骨进行截骨、重新定位并固定。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3074.9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2795.4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2655.6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2515.8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86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503.2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通过手术对复杂情况的上颌骨进行截骨、重新定位并固定。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本项目中的“复杂”指：指LefortⅡ型截骨、LefortⅡI型截骨、分块截骨、陈旧性骨折、唇腭裂。</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4612.4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4193.1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3983.4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3773.7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上颌截骨内固定费（复杂）-儿童（加收）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本项目中的“复杂”指：指LefortⅡ型截骨、LefortⅡI型截骨、分块截骨、陈旧性骨折、唇腭裂。</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838.6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796.7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通过手术对下颌骨进行截骨、重新定位并固定。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2813.2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2557.4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2429.6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562.6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通过手术对复杂情况的下颌骨进行截骨、重新定位并固定。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所定价格涵盖手术计划、消毒、切开、截骨、移位、固定、缝合、处理用物等步骤所需的人力资源和基本物质资源消耗。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本项目中的“复杂”指：下颌骨分块截骨、陈旧性骨折。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4219.8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3836.2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3644.4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下颌截骨内固定费（复杂）-儿童（加收）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本项目中的“复杂”指：下颌骨分块截骨、陈旧性骨折。</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767.2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728.9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690.5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颏部截骨固定费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通过手术对颏部进行截骨、重新定位并固定。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2749.6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2249.7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颏部截骨固定费-儿童（加收）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549.9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499.9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474.9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颧骨颧弓截骨固定费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通过手术对颧骨颧弓进行截骨、重新定位并固定。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所定价格涵盖手术计划、消毒、切开、分离、骨骼磨削或截除、缝合、处理用物等步骤所需的人力资源和基本物质资源消耗。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2714.3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2467.5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2344.1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2220.8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颧骨颧弓截骨固定费-儿童（加收）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542.9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颌面部植骨费（颗粒骨）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通过手术对口腔颌面部的骨缺损使用颗粒骨进行植骨。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所定价格涵盖手术计划、消毒、切开、植骨、固定、缝合、处理用物等步骤所需的人力资源和基本物质资源消耗。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1320.5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颌面部植骨费（颗粒骨）-儿童（加收）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颌面部植骨费（块状骨）</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通过手术对口腔颌面部的骨缺损使用块状骨进行植骨。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所定价格涵盖手术计划、消毒、切开、植骨、固定、缝合、处理用物等步骤所需的人力资源和基本物质资源消耗。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1772.7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1684.1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颌面部植骨费（块状骨）-儿童（加收）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319.1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颌骨畸形矫正费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通过手术矫正颌骨畸形。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所定价格涵盖手术计划、消毒、切开、磨削或截除、缝合、处理用物等步骤所需的人力资源和基本物质资源消耗。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2691.8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2447.1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2324.8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2202.4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013306030090001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颌骨畸形矫正费-儿童（加收）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538.4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489.4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440.5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通过手术对颌骨骨折进行复位并固定。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1844.4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1676.7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368.9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335.3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301.8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通过手术对复杂情况的颌骨骨折进行复位并固定。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1.本项目中的“复杂”指：陈旧性骨折、粉碎性骨折、多发性骨折、伴骨缺损骨折、骨不连骨折、下颌骨髁突骨折。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3434.9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3122.6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2966.5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2810.4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颌骨骨折固定费（复杂）-儿童（加收）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1.本项目中的“复杂”指：陈旧性骨折、粉碎性骨折、多发性骨折、伴骨缺损骨折、骨不连骨折、下颌骨髁突骨折。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2.本项目中的“部位”指：左上颌、右上颌、左下颌、右下颌。</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通过手术对髁突骨折进行复位并固定。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所定价格涵盖手术计划、消毒、切开、面神经解剖、骨折复位、固定、缝合、处理用物等步骤所需的人力资源和基本物质资源消耗。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326.7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通过手术对复杂情况的髁突骨折进行复位并固定。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所定价格涵盖手术计划、消毒、切开、面神经解剖、骨折复位、固定、缝合、处理用物等步骤所需的人力资源和基本物质资源消耗。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1743.6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1585.1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348.7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285.3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髁突骨折固定费（复杂）-口腔内镜操作（加收）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1.本项目中的“复杂”指：陈旧性骨折、粉碎性骨折。</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2.本项目中的“部位”指：左髁突、右髁突。</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174.4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通过手术对颧骨颧弓骨折进行复位并固定。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1429.3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300.9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285.9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通过手术对复杂情况的颧骨颧弓骨折进行复位并固定。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1961.9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1863.8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1765.7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431.6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372.8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颧骨颧弓骨折固定费（复杂）-口腔内镜操作（加收）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196.2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186.4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通过手术对鼻眶筛区骨折进行复位并固定。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326.7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通过手术对复杂情况的鼻眶筛区骨折进行复位并固定。</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所定价格涵盖手术计划、消毒、切开、骨折复位、固定、缝合、处理用物等步骤所需的人力资源和基本物质资源消耗。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2123.6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1930.5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鼻眶筛区骨折固定费（复杂）-儿童（加收）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本项目中的“复杂”指：陈旧性骨折、粉碎性骨折、多发性骨折、伴骨缺损骨折、骨不连。</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366.8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颌面部软组织清创缝合费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通过手术对颌面部软组织伤口进行清创、精细化缝合。</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所定价格涵盖手术计划、消毒、清创、止血、精细化缝合、处理用物等步骤所需要的人力资源和基本物质资源消耗。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本项目中的“次”指：3厘米及以下长度，3厘米以上每增加1厘米按33%加收。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756.5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颌面部软组织清创缝合费-儿童（加收）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本项目中的“次”指：3厘米及以下长度，3厘米以上每增加1厘米按33%加收。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通过手术切除口腔颌面部的良性病变。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013306030190001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通过手术切除复杂情况的口腔颌面部病变。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1.本项目中的“复杂”指：恶性肿瘤、良性肿物最大径大于等于3厘米、放化疗后、复发。</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1396.6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1142.6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口腔颌面部软组织病变切除费（复杂）-儿童（加收）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1.本项目中的“复杂”指：恶性肿瘤、良性肿物最大径大于等于3厘米、放化疗后、复发。</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2.本项目中的“部位”指：颏、唇、颊、舌、腭、额、牙龈、口底、口咽。</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279.3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通过手术切除颈部的良性病变。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926.3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214.5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013306030210011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通过手术切除复杂情况的颈部病变。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1394.3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1140.8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颈部软组织病变切除费（复杂）-口腔内镜操作（加收）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通过手术切除腮腺的良性病变或部分腮腺。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013306030231100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腮腺病变切除费（常规）-舌下腺病变切除（扩展）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1590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通过手术切除复杂情况的腮腺病变。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549.3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520.4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b/>
                <w:bCs/>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b/>
                <w:bCs/>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013306030241100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腮腺病变切除费（复杂）-舌下腺病变切除（扩展）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本项目中的“复杂”指：恶性肿瘤、良性肿物最大径大于等于3厘米、放化疗后、复发、累及面神经。</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2746.5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2601.9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通过手术切除颞下颌关节病变。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通过手术切除复杂情况的颞下颌关节病变。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本项目中的“复杂”指：肿物侵犯关节外及周围软组织和骨组织。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1441.4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1365.5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本项目中的“复杂”指：肿物侵犯关节外及周围软组织和骨组织。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颞下颌关节病变切除费（复杂）-口腔内镜操作（加收）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本项目中的“复杂”指：肿物侵犯关节外及周围软组织和骨组织。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144.1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通过手术切除颅底/颞下窝的病变。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所定价格涵盖手术计划、消毒、切开、分离、切除、冲洗、缝合、处理用物等步骤所需的人力资源和基本物质资源消耗。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4653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4230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4018.5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3807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803.7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930.6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803.7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761.4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013306030270021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颅底/颞下窝病变切除费（非开颅）-口腔内镜操作（加收）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涉及开颅的颅底/颞下窝肿物切除按神经系统项目”颅底病变切除费”收取。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上颌骨部分切除费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通过手术切除低位上颌骨。含牙槽突以内上颌骨切除。</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1293.6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1228.9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1164.2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上颌骨部分切除费-儿童（加收）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258.7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013306030280011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上颌骨部分切除费-恶性肿瘤切除（加收）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258.7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通过手术切除部分、全部上颌骨或上颌骨及其周围骨组织。</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013306030290001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上颌骨切除费-儿童（加收）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450</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下颌骨部分切除费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通过手术切除部分下颌骨，仍保持下颌骨连续性。</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2334.6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2217.9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2101.1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下颌骨部分切除费-儿童（加收）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443.6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420.2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013306030300011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下颌骨部分切除费-恶性肿瘤切除（加收）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385.2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350.2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332.7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79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通过手术切除下颌骨，使下颌骨连续性中断。</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2883.2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576.6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通过手术切除部分或全部颧骨。</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3762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颧骨切除费-恶性肿瘤切除（加收）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615.6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面瘘切除费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通过手术切除面瘘。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瘘道</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面瘘切除费-儿童（加收）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瘘道</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颌下腺移植费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通过手术将自体颌下腺移植于颞部，导管引入同侧眼内。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所定价格涵盖手术计划、消毒、切开、分离、制备、改道、吻合、缝合、处理用物等步骤所需的人力资源和基本物质资源消耗。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颌下腺移植费-儿童（加收）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363.6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013306030340100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颌下腺移植费-小唾液腺移植（扩展）</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2000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1727.3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1636.4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89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颞下颌关节切开复位费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通过手术将脱位、移位的颞下颌关节复位。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1911.8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1651.1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1564.2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颞下颌关节切开复位费-儿童（加收）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382.4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312.8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013306030350011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颞下颌关节切开复位费-口腔内镜操作（加收）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通过手法或牵引将脱位的颞下颌关节复位。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所定价格涵盖手术计划、闭合、复位、处理用物等步骤所需的人力资源和基本物质资源消耗。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颞下颌关节闭合复位费-陈旧性脱位（加收）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1021.9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929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882.6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836.1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013306030360021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颞下颌关节闭合复位费-口腔内镜操作（加收）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颞下颌关节盘复位固定费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通过手术将移位的颞下颌关节盘复位。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所定价格涵盖手术计划、消毒、切开、松解、黏连清除、复位、缝合、处理用物等步骤所需的人力资源和基本物质资源消耗。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颞下颌关节盘复位固定费-儿童（加收）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颞下颌关节盘复位固定费-口腔内镜操作（加收）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99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颞下颌关节成形费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通过手术将颞下颌修整成形。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所定价格涵盖手术计划、消毒、切开、成形、缝合等步骤所需的人力资源和基本物质资源消耗。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颞下颌关节成形费-儿童（加收）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481.7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456.3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013306030380011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颞下颌关节成形费-粘连或病变累及关节外（加收）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通过手术切除部分髁突或颞下颌关节区其他病变。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013306030390011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通过手术切除复杂情况的部分髁突或颞下颌关节区其他病变。</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所定价格涵盖手术计划、消毒、切开、切除、清理、缝合、处理用物等步骤所需的人力资源和基本物质资源消耗。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本项目中的“复杂”指：病变累及周围软组织和骨组织。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1699.4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本项目中的“复杂”指：病变累及周围软组织和骨组织。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415.4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377.6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013306030400011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颞下颌关节部分切除费（复杂）-口腔内镜操作（加收）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本项目中的“复杂”指：病变累及周围软组织和骨组织。</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188.8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169.9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通过手术对缺损的关节盘进行修复。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所定价格涵盖手术计划、消毒、切开、修复、缝合、处理用物等步骤所需的人力资源和基本物质资源消耗。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109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013306030410011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通过手术对复杂情况的颞下颌关节盘进行修复。</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所定价格涵盖手术计划、消毒、切开、修复、缝合、处理用物等步骤所需的人力资源和基本物质资源消耗。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本项目中的“复杂”指：使用自体游离组织、带蒂组织瓣或人工材料进行修复。不包含制备皮瓣的费用。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1703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1548.2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1470.8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1393.4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本项目中的“复杂”指：使用自体游离组织、带蒂组织瓣或人工材料进行修复。不包含制备皮瓣的费用。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294.2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颞下颌关节盘修复费（复杂）-口腔内镜操作（加收）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本项目中的“复杂”指：使用自体游离组织、带蒂组织瓣或人工材料进行修复。不包含制备皮瓣的费用。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170.3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154.8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通过手术对缺损的颞下颌关节进行重建。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所定价格涵盖手术计划、消毒、切开、重建、缝合、处理用物等步骤所需的人力资源和基本物质资源消耗。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2289.5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530.2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457.9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433.8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013306030430011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颞下颌关节重建费（常规）-口腔内镜操作（加收）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通过手术对复杂情况的缺损颞下颌关节进行重建。</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所定价格涵盖手术计划、消毒、切开、重建、缝合、处理用物等步骤所需的人力资源和基本物质资源消耗。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本项目中的“复杂”指：下颌升支截骨、髁突/全关节置换。</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2630.6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2492.2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本项目中的“复杂”指：下颌升支截骨、髁突/全关节置换。</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609.2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498.4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119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013306030440011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颞下颌关节重建费（复杂）-口腔内镜操作（加收）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本项目中的“复杂”指：下颌升支截骨、髁突/全关节置换。</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颞下颌关节紊乱病矫治费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通过矫治器安装调整来治疗颞下颌关节紊乱病。</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所定价格涵盖方案设计、矫治器安装、评估、调整、处理用物等步骤所需的人力资源和基本物质资源消耗。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1.不包含颌垫设计及制备的费用。</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2.本项目中的“疗程”指：治疗从开始到结束的整个过程。</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5540.3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5036.7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4784.8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4533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颞下颌关节紊乱病矫治费-儿童（加收）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疗程</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1.不包含颌垫设计及制备的费用。</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2.本项目中的“疗程”指：治疗从开始到结束的整个过程。</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1108.1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906.6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下颌骨喙突切除费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通过手术切除部分或全部下颌骨喙突。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1244.5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1182.3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1120.1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下颌骨喙突切除费-儿童（加收）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013306030460011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下颌骨喙突切除费-恶性肿瘤切除（加收）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273.8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248.9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236.5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985"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通过手术修复唇部裂隙，重建唇部外形。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唇裂修复不涉及鼻畸形修复，正中裂修复按单侧收费。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1523.5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1385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1315.8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唇裂修复不涉及鼻畸形修复，正中裂修复按单侧收费。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263.2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249.3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013306030470011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唇裂修复费-鼻底封闭成型（加收）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唇裂修复不涉及鼻畸形修复，正中裂修复按单侧收费。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457.1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415.5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394.7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通过手术修复面部裂隙，重建面部外形。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1539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1458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129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面裂修复费-儿童（加收）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356.4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324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307.8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291.6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唇缺损修复费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通过手术修复唇部缺损，重建唇部外形。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1336.5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1154.3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1093.5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013306030490001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唇缺损修复费-儿童（加收）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267.3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唇裂术后继发唇畸形整复费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通过手术修复唇部功能障碍，重建唇部外形。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所定价格涵盖手术计划、消毒、切开、分离、修复、缝合、处理用物等步骤所需的人力资源和基本物质资源消耗。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1009.6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959.1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908.7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唇裂术后继发唇畸形整复费-儿童（加收）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222.1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201.9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181.7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通过手术修复腭部裂隙，重建腭部外形。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所定价格涵盖手术计划、消毒、切开、调整、成形、缝合、处理用物等步骤所需的人力资源和基本物质资源消耗。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1264.7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1201.5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1138.2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252.9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013306030510011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腭裂修复费-Ⅲ度腭裂（加收）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409.3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372.1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353.5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334.9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腭咽闭合不全修复费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通过手术恢复腭部完整性。</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所定价格涵盖手术计划、消毒、切开、调整、成形、缝合、处理用物等步骤所需的人力资源和基本物质资源消耗。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2059.8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1951.4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腭咽闭合不全修复费-儿童（加收）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139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013306030520011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腭咽闭合不全修复费-腭裂术后复裂（加收）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433.6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390.3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腭瘘修复费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通过手术修补腭瘘，封闭口鼻腔。</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742.5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641.3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607.5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腭瘘修复费-儿童（加收）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牙槽突裂修复费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通过手术修复缺损的牙槽突裂隙，恢复患者牙槽外形。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不包括植骨费。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1144.8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1084.5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牙槽突裂修复费-儿童（加收）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不包括植骨费。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265.1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216.9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唇裂鼻畸形修复费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通过手术修复唇裂鼻部畸形，重建鼻部外形。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所定价格涵盖手术计划、消毒、切开、调整、缝合、处理用物等步骤所需的人力资源和基本物质资源消耗。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2035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1850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1757.5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唇裂鼻畸形修复费-儿童（加收）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正中裂修复按单侧收费。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407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351.5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舌畸形修复费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通过手术修复舌部形态异常，改善功能和外观。</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1390.6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1264.2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1201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1137.8</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舌畸形修复费-儿童（加收）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278.1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252.8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240.2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唇鼻系统重建费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通过手术系统调整唇鼻部解剖结构和相关肌肉生物力学结构，重建唇鼻部功能和外形。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所定价格涵盖手术计划、消毒、切开、分离、切除、调整肌肉力学结构、重建或修复外形、缝合、处理用物等步骤所需的人力资源和基本物质资源消耗。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 “唇裂术后继发唇畸形整复费”“唇裂鼻畸形修复费”同时收取。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3448.5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3135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2978.3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149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唇鼻系统重建费-儿童（加收）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不与“唇裂修复费” “唇裂术后继发唇畸形整复费”“唇裂鼻畸形修复费”同时收取。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689.7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627</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595.7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564.3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腭咽系统重建费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通过手术系统调整腭咽部解剖结构和相关肌肉生物力学结构，重建腭咽部功能和外形。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所定价格涵盖手术计划、消毒、切开、分离、切除、调整肌肉力学结构、重建或修复外形、缝合、处理用物等步骤所需的人力资源和基本物质资源消耗。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不与“腭裂修复费”同时收取。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1573.3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1430.3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1287.3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腭咽系统重建费-儿童（加收）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不与“腭裂修复费”同时收取。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314.7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271.8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口咽颌面部手术探查费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通过手术探查口咽颌面部情况。</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所定价格涵盖手术计划、消毒、切开、探查、缝合、处理用物等步骤所需的人力资源和基本物质资源消耗。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1.不与同台同部位其他手术同时收费。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2.术后口咽颌面部出血、脓/血肿行手术探查及处理适用本项目收费。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013306030590001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口咽颌面部手术探查费-儿童（加收）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1.不与同台同部位其他手术同时收费。</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2.术后口咽颌面部出血、脓/血肿行手术探查及处理适用本项目收费。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颈部手术探查费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通过手术探查颈部情况。</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所定价格涵盖手术计划、消毒、切开、探查、缝合、处理用物等步骤所需的人力资源和基本物质资源消耗。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不与同台同部位其他手术同时收费。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颈部手术探查费-儿童（加收）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不与同台同部位其他手术同时收费。</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47.5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唾液腺导管改道费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通过手术为腮腺或者颌下腺导管重新建立出口。</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所定价格涵盖手术计划、消毒、切开、分离唾液腺导管、建立导管新出口、缝合、处理用物等步骤所需的人力资源和基本物质资源消耗。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689.1</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654.6</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620.2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唾液腺导管改道费-儿童（加收）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151.6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137.8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130.9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013306030620000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唾液腺导管吻合费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通过手术吻合断裂的腮腺或颌下腺导管。</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所定价格涵盖手术计划、消毒、切开、分离唾液腺导管、吻合、处理用物等步骤所需的人力资源和基本物质资源消耗。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1382.3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1256.6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1193.8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1131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159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013306030620001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唾液腺导管吻合费-儿童（加收）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腺体•单侧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276.5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251.3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238.8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226.2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013306030630000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颌面部间隙感染切开引流费（常规）</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通过手术对颌面部间隙感染切开引流。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所定价格涵盖手术计划、消毒、切开、引流、冲洗、放置引流装置等步骤所需的人力资源和基本物质资源消耗。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本项目中的“次”指：2个及以下间隙感染。3个及以上每增加1个间隙按33%加收。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620.4</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535.8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507.6</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013306030630001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颌面部间隙感染切开引流费（常规）-儿童（加收）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本项目中的“次”指：2个及以下间隙感染。3个及以上每增加1个间隙按33%加收。</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124.1</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112.8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101.5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013306030640000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颌面部间隙感染切开引流费（复杂）</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通过手术对复杂情况的颌面部间隙感染切开引流。</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所定价格涵盖手术计划、消毒、切开、引流、冲洗、放置引流装置等步骤所需的人力资源和基本物质资源消耗。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本项目中的“复杂”指：累及咽后、颌下、椎前或颈根临近纵膈。</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680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618.2</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587.3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013306030640001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颌面部间隙感染切开引流费（复杂）-儿童（加收）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次</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本项目中的“复杂”指：累及咽后、颌下、椎前或颈根临近纵膈。</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117.4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013306030650000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颌面颈部深部异物取出费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通过手术取出颌面颈部异物或移位牙齿、牙体组织、骨片等。</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所定价格涵盖手术计划、消毒、切开翻瓣、异物取出、缝合、处理用物等步骤所需的人力资源和基本物质资源消耗。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1.本项目中的“深部”指：异物穿过颌面部2个及以上解剖部位，距离面部体表3cm以上。</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2.颌面颈部浅表异物取出按照体被系统的“浅表异物取出费”收取。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678.6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616.9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586.1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555.2</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013306030650001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颌面颈部深部异物取出费-儿童（加收）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1.本项目中的“深部”指：异物穿过颌面部2个及以上解剖部位，距离面部体表3cm以上。</w:t>
            </w:r>
            <w:r>
              <w:rPr>
                <w:rFonts w:hint="eastAsia" w:ascii="Times New Roman" w:hAnsi="Times New Roman" w:eastAsia="方正仿宋_GB2312" w:cs="方正仿宋_GB2312"/>
                <w:i w:val="0"/>
                <w:iCs w:val="0"/>
                <w:color w:val="auto"/>
                <w:kern w:val="0"/>
                <w:sz w:val="16"/>
                <w:szCs w:val="16"/>
                <w:u w:val="none"/>
                <w:lang w:val="en-US" w:eastAsia="zh-CN" w:bidi="ar"/>
              </w:rPr>
              <w:br w:type="textWrapping"/>
            </w:r>
            <w:r>
              <w:rPr>
                <w:rFonts w:hint="eastAsia" w:ascii="Times New Roman" w:hAnsi="Times New Roman" w:eastAsia="方正仿宋_GB2312" w:cs="方正仿宋_GB2312"/>
                <w:i w:val="0"/>
                <w:iCs w:val="0"/>
                <w:color w:val="auto"/>
                <w:kern w:val="0"/>
                <w:sz w:val="16"/>
                <w:szCs w:val="16"/>
                <w:u w:val="none"/>
                <w:lang w:val="en-US" w:eastAsia="zh-CN" w:bidi="ar"/>
              </w:rPr>
              <w:t>2.颌面颈部浅表异物取出按照体被系统的“浅表异物取出费”收取。</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135.7</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123.4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117.2</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013306030660000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颌间挛缩松解费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通过手术切除或松解颌部的挛缩组织、纤维化的肌组织，恢复颌间的正常功能和活动度。</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所定价格涵盖手术计划、消毒、切开/切除、松解、缝合、处理用物等步骤所需的人力资源和基本物质资源消耗。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1411.3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1283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1218.9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1154.7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013306030660001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颌间挛缩松解费-儿童（加收）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282.3</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256.6</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243.8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230.9</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168</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013306030670000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颌面部牵引器植入费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通过手术植入牵引器，逐渐扩张骨骼。</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所定价格涵盖手术计划、消毒、切开、牵引器植入、固定、缝合、处理用物等步骤所需的人力资源和基本物质资源消耗。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本项目中的“部位”指：左上颌、右上颌、左下颌、右下颌、颏部、左颧骨颧弓、右颧骨颧弓。</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3155.9</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2869</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2725.5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2582.1</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snapToGrid w:val="0"/>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napToGrid w:val="0"/>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169</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013306030670001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颌面部牵引器植入费-儿童（加收）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本项目中的“部位”指：左上颌、右上颌、左下颌、右下颌、颏部、左颧骨颧弓、右颧骨颧弓。</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631.2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573.8</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545.1</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516.4</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170</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013306030680000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颌面部植入物取出费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通过手术取出颌面部植入物。</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所定价格涵盖手术计划、消毒、切开、植入物取出、缝合、处理用物等步骤所需的人力资源和基本物质资源消耗。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412.5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356.3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甲类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171</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013306030680001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颌面部植入物取出费-儿童（加收）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部位</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本项目中的“部位”指：左上颌、右上颌、左下颌、右下颌、左颧骨颧弓、右颧骨颧弓、左眼眶、右眼眶、颏部。</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71.3</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172</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013306030690000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咀嚼肌部分切除费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通过手术切除部分咀嚼肌。</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所定价格涵盖手术计划、消毒、切开、分离、切除、缝合、处理用物等步骤所需的人力资源和基本物质资源消耗。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strike/>
                <w:color w:val="auto"/>
                <w:sz w:val="16"/>
                <w:szCs w:val="16"/>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810</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736.4</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699.5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662.7</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173</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013306030690001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咀嚼肌部分切除费-儿童（加收）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162</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147.3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139.9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132.5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174</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013306030700000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神经吻合面瘫畸形整复费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通过手术将神经或移植神经进行吻合，矫正面瘫畸形。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所定价格涵盖手术计划、消毒、切开、分离、吻合、缝合、处理用物等步骤所需的人力资源和基本物质资源消耗。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每根神经</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1925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1750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1662.5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1575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乙类</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175</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013306030700001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神经吻合面瘫畸形整复费-儿童（加收）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每根神经</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385</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350</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332.5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315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176</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013306030710000</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悬吊面瘫畸形矫正费</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通过应用自体阔筋膜或人工合成材料等，对移位的面部组织进行悬吊，矫正面瘫畸形。</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所定价格涵盖手术计划、消毒、切开、剥离、悬吊、缝合、处理用物等步骤所需的人力资源和基本物质资源消耗。</w:t>
            </w: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2868</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2607.3</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2476.9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2346.5</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 w:hRule="atLeast"/>
          <w:jc w:val="center"/>
        </w:trPr>
        <w:tc>
          <w:tcPr>
            <w:tcW w:w="1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微软雅黑"/>
                <w:i w:val="0"/>
                <w:iCs w:val="0"/>
                <w:color w:val="auto"/>
                <w:sz w:val="16"/>
                <w:szCs w:val="16"/>
                <w:u w:val="none"/>
              </w:rPr>
            </w:pPr>
            <w:r>
              <w:rPr>
                <w:rFonts w:hint="eastAsia" w:ascii="Times New Roman" w:hAnsi="Times New Roman" w:eastAsia="方正仿宋_GB2312" w:cs="微软雅黑"/>
                <w:i w:val="0"/>
                <w:iCs w:val="0"/>
                <w:color w:val="auto"/>
                <w:kern w:val="0"/>
                <w:sz w:val="16"/>
                <w:szCs w:val="16"/>
                <w:u w:val="none"/>
                <w:lang w:val="en-US" w:eastAsia="zh-CN" w:bidi="ar"/>
              </w:rPr>
              <w:t>177</w:t>
            </w:r>
          </w:p>
        </w:tc>
        <w:tc>
          <w:tcPr>
            <w:tcW w:w="4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013306030710001</w:t>
            </w:r>
          </w:p>
        </w:tc>
        <w:tc>
          <w:tcPr>
            <w:tcW w:w="3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悬吊面瘫畸形矫正费-儿童（加收）</w:t>
            </w:r>
          </w:p>
        </w:tc>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1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单侧</w:t>
            </w:r>
          </w:p>
        </w:tc>
        <w:tc>
          <w:tcPr>
            <w:tcW w:w="91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left"/>
              <w:rPr>
                <w:rFonts w:hint="eastAsia" w:ascii="Times New Roman" w:hAnsi="Times New Roman" w:eastAsia="方正仿宋_GB2312" w:cs="方正仿宋_GB2312"/>
                <w:i w:val="0"/>
                <w:iCs w:val="0"/>
                <w:color w:val="auto"/>
                <w:sz w:val="16"/>
                <w:szCs w:val="16"/>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573.6</w:t>
            </w:r>
          </w:p>
        </w:tc>
        <w:tc>
          <w:tcPr>
            <w:tcW w:w="3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521.5</w:t>
            </w:r>
          </w:p>
        </w:tc>
        <w:tc>
          <w:tcPr>
            <w:tcW w:w="30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495.4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right"/>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469.3</w:t>
            </w:r>
          </w:p>
        </w:tc>
        <w:tc>
          <w:tcPr>
            <w:tcW w:w="12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自费</w:t>
            </w:r>
          </w:p>
        </w:tc>
        <w:tc>
          <w:tcPr>
            <w:tcW w:w="2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val="0"/>
              <w:spacing w:line="240" w:lineRule="exact"/>
              <w:ind w:left="0" w:leftChars="0" w:right="0" w:rightChars="0" w:firstLine="0" w:firstLineChars="0"/>
              <w:jc w:val="center"/>
              <w:rPr>
                <w:rFonts w:hint="eastAsia" w:ascii="Times New Roman" w:hAnsi="Times New Roman" w:eastAsia="方正仿宋_GB2312" w:cs="方正仿宋_GB2312"/>
                <w:i w:val="0"/>
                <w:iCs w:val="0"/>
                <w:color w:val="auto"/>
                <w:sz w:val="16"/>
                <w:szCs w:val="16"/>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auto"/>
                <w:sz w:val="16"/>
                <w:szCs w:val="16"/>
                <w:u w:val="none"/>
              </w:rPr>
            </w:pPr>
            <w:r>
              <w:rPr>
                <w:rFonts w:hint="eastAsia" w:ascii="Times New Roman" w:hAnsi="Times New Roman" w:eastAsia="方正仿宋_GB2312" w:cs="方正仿宋_GB2312"/>
                <w:i w:val="0"/>
                <w:iCs w:val="0"/>
                <w:color w:val="auto"/>
                <w:kern w:val="0"/>
                <w:sz w:val="16"/>
                <w:szCs w:val="16"/>
                <w:u w:val="none"/>
                <w:lang w:val="en-US" w:eastAsia="zh-CN" w:bidi="ar"/>
              </w:rPr>
              <w:t>手术费</w:t>
            </w:r>
          </w:p>
        </w:tc>
      </w:tr>
    </w:tbl>
    <w:p/>
    <w:p>
      <w:pPr>
        <w:pStyle w:val="2"/>
      </w:pPr>
    </w:p>
    <w:p/>
    <w:p>
      <w:pPr>
        <w:pStyle w:val="2"/>
        <w:sectPr>
          <w:headerReference r:id="rId5" w:type="default"/>
          <w:footerReference r:id="rId6" w:type="default"/>
          <w:pgSz w:w="23811" w:h="16838" w:orient="landscape"/>
          <w:pgMar w:top="1962" w:right="1474" w:bottom="1848" w:left="1587" w:header="851" w:footer="992" w:gutter="0"/>
          <w:pgNumType w:fmt="numberInDash"/>
          <w:cols w:space="0" w:num="1"/>
          <w:rtlGutter w:val="0"/>
          <w:docGrid w:type="lines" w:linePitch="328" w:charSpace="0"/>
        </w:sectPr>
      </w:pPr>
    </w:p>
    <w:p>
      <w:pPr>
        <w:rPr>
          <w:rFonts w:hint="eastAsia" w:ascii="Times New Roman" w:hAnsi="Times New Roman" w:eastAsia="方正黑体_GBK" w:cs="方正黑体_GBK"/>
          <w:sz w:val="36"/>
          <w:szCs w:val="36"/>
          <w:lang w:val="en-US" w:eastAsia="zh-CN"/>
        </w:rPr>
      </w:pPr>
      <w:r>
        <w:rPr>
          <w:rFonts w:hint="eastAsia" w:ascii="Times New Roman" w:hAnsi="Times New Roman" w:eastAsia="方正黑体_GBK" w:cs="方正黑体_GBK"/>
          <w:sz w:val="36"/>
          <w:szCs w:val="36"/>
          <w:lang w:val="en-US" w:eastAsia="zh-CN"/>
        </w:rPr>
        <w:t>附件2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napToGrid w:val="0"/>
          <w:spacing w:val="0"/>
          <w:kern w:val="0"/>
          <w:sz w:val="48"/>
          <w:szCs w:val="48"/>
          <w:shd w:val="clear" w:color="auto" w:fill="FFFFFF"/>
          <w:lang w:bidi="ar"/>
        </w:rPr>
      </w:pPr>
      <w:r>
        <w:rPr>
          <w:rFonts w:hint="eastAsia" w:ascii="方正小标宋_GBK" w:hAnsi="方正小标宋_GBK" w:eastAsia="方正小标宋_GBK" w:cs="方正小标宋_GBK"/>
          <w:snapToGrid w:val="0"/>
          <w:spacing w:val="0"/>
          <w:kern w:val="0"/>
          <w:sz w:val="48"/>
          <w:szCs w:val="48"/>
          <w:shd w:val="clear" w:color="auto" w:fill="FFFFFF"/>
          <w:lang w:bidi="ar"/>
        </w:rPr>
        <w:t>停用</w:t>
      </w:r>
      <w:r>
        <w:rPr>
          <w:rFonts w:hint="eastAsia" w:ascii="方正小标宋_GBK" w:hAnsi="方正小标宋_GBK" w:eastAsia="方正小标宋_GBK" w:cs="方正小标宋_GBK"/>
          <w:snapToGrid w:val="0"/>
          <w:spacing w:val="0"/>
          <w:kern w:val="0"/>
          <w:sz w:val="48"/>
          <w:szCs w:val="48"/>
          <w:shd w:val="clear" w:color="auto" w:fill="FFFFFF"/>
          <w:lang w:eastAsia="zh-CN" w:bidi="ar"/>
        </w:rPr>
        <w:t>“真空压力蒸气灭菌手机消毒成本费”</w:t>
      </w:r>
      <w:r>
        <w:rPr>
          <w:rFonts w:hint="eastAsia" w:ascii="方正小标宋_GBK" w:hAnsi="方正小标宋_GBK" w:eastAsia="方正小标宋_GBK" w:cs="方正小标宋_GBK"/>
          <w:snapToGrid w:val="0"/>
          <w:spacing w:val="0"/>
          <w:kern w:val="0"/>
          <w:sz w:val="48"/>
          <w:szCs w:val="48"/>
          <w:shd w:val="clear" w:color="auto" w:fill="FFFFFF"/>
          <w:lang w:bidi="ar"/>
        </w:rPr>
        <w:t>等医疗</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pacing w:val="0"/>
          <w:sz w:val="48"/>
          <w:szCs w:val="48"/>
          <w:lang w:val="en-US" w:eastAsia="zh-CN"/>
        </w:rPr>
      </w:pPr>
      <w:r>
        <w:rPr>
          <w:rFonts w:hint="eastAsia" w:ascii="方正小标宋_GBK" w:hAnsi="方正小标宋_GBK" w:eastAsia="方正小标宋_GBK" w:cs="方正小标宋_GBK"/>
          <w:snapToGrid w:val="0"/>
          <w:spacing w:val="0"/>
          <w:kern w:val="0"/>
          <w:sz w:val="48"/>
          <w:szCs w:val="48"/>
          <w:shd w:val="clear" w:color="auto" w:fill="FFFFFF"/>
          <w:lang w:bidi="ar"/>
        </w:rPr>
        <w:t>服务价格项目表</w:t>
      </w:r>
    </w:p>
    <w:tbl>
      <w:tblPr>
        <w:tblStyle w:val="8"/>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108" w:type="dxa"/>
          <w:bottom w:w="0" w:type="dxa"/>
          <w:right w:w="108" w:type="dxa"/>
        </w:tblCellMar>
      </w:tblPr>
      <w:tblGrid>
        <w:gridCol w:w="1324"/>
        <w:gridCol w:w="1944"/>
        <w:gridCol w:w="5835"/>
        <w:gridCol w:w="413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tblHeader/>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序号</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项目编码</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项目名称</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黑体_GBK" w:cs="方正黑体_GBK"/>
                <w:b w:val="0"/>
                <w:bCs/>
                <w:i w:val="0"/>
                <w:iCs w:val="0"/>
                <w:color w:val="000000"/>
                <w:sz w:val="24"/>
                <w:szCs w:val="24"/>
                <w:u w:val="none"/>
              </w:rPr>
            </w:pPr>
            <w:r>
              <w:rPr>
                <w:rFonts w:hint="eastAsia" w:ascii="Times New Roman" w:hAnsi="Times New Roman" w:eastAsia="方正黑体_GBK" w:cs="方正黑体_GBK"/>
                <w:b w:val="0"/>
                <w:bCs/>
                <w:i w:val="0"/>
                <w:iCs w:val="0"/>
                <w:color w:val="000000"/>
                <w:kern w:val="0"/>
                <w:sz w:val="24"/>
                <w:szCs w:val="24"/>
                <w:u w:val="none"/>
                <w:lang w:val="en-US" w:eastAsia="zh-CN" w:bidi="ar"/>
              </w:rPr>
              <w:t>医保结算编码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真空压力蒸气灭菌手机消毒成本费</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003105000000001-3105.01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全口牙病系统检查与治疗设计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003105010010000-310501001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全口牙病系统检查与治疗设计（牙周专业检查加收）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003105010010001-310501001.01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咬合检查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003105010020000-310501002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颌力测量检查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003105010030000-310501003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咀嚼功能检查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003105010040000-310501004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下颌运动检查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003105010050000-310501005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下颌运动检查（髁状突运动轨迹描记）</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003105010050100-310501005.10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FHL02401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唾液流量测定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003105010060000-FHL02401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口腔模型制备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003105010070000-310501007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记存模型制备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003105010080000-310501008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面部模型制备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003105010090000-310501009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003105010100000-310501010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常规面颌像检查（正侧位面像）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003105010100100-310501010.10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常规面颌像检查（微笑像）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003105010100200-310501010.20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常规面颌像检查（正侧位颌像）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003105010100300-310501010.30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310501010.40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常规面颌像检查（上下颌颌面像）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003105010100400-310501010.40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003105020010000-310502001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牙髓活力检查（冷测）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003105020010100-310502001.10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牙髓活力检查（热测）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003105020010200-310502001.20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牙髓活力检查（牙髓活力电测）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003105020010300-310502001.30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310502002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根管长度测量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003105020020000-310502002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龈上菌斑检查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003105030040000-310503004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003105030050000-310503005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菌斑微生物检测（刚果红负染法）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003105030050100-310503005.10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菌斑微生物检测（暗视野显微镜法）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003105030050200-310503005.20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310503005.30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菌斑微生物检测（Periocheck法）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003105030050300-310503005.30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FHW01401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牙周探诊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003105030060100-FHW01401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正颌外科手术设计与面型预测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003105050010000-310505001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正颌外科手术设计与面型预测（VTO技术）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003105050010100-310505001.10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正颌外科手术设计与面型预测（电子计算机技术）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003105050010200-310505001.20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003105050020000-310505002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云纹仪检查（正位云纹照相及测量）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003105050020100-310505002.10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云纹仪检查（侧位云纹照相及测量）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003105050020200-310505002.20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08"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云纹仪检查（斜位云纹照相及测量）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003105050020300-310505002.30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模型外科设计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003105050030000-310505003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带环制备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003105050040000-310505004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唇弓制备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003105050050000-310505005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唇弓制备（特殊要求唇弓加收）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003105050050001-310505005.01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310505006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颌导板制备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003105050060000-310505006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310506001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颞颌关节系统检查设计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003105060010000-310506001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310506001.10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颞颌关节系统检查设计（颞颌关节系统检查）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003105060010100-310506001.10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310506002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颞颌关节镜检查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003105060020000-310506002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错颌畸形初检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003105070010000-310507001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003105070020000-310507002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错颌畸形治疗设计（X线头影测量）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003105070020000-310507002.30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错颌畸形治疗设计（使用计算机进行三维牙合模型测量和X线头影测量酌情加收）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003105070020001-310507002.01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错颌畸形治疗设计（牙合模型测量）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003105070020100-310507002.10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错颌畸形治疗设计（模型诊断性排牙）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003105070020200-310507002.20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固定矫治器复诊处置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003105070030000-310507003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003105070040000-310507004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功能矫治器复诊处置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003105070050000-310507005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特殊矫治器复诊处置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003105070060000-310507006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特殊矫治器复诊处置（推杆式矫治）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003105070060100-310507006.10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310507007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错颌畸形正中颌位检查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003105070070000-310507007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调颌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003105100010000-310510001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003105100020000-310510002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氟防龋治疗（局部涂氟）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003105100020100-310510002.10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氟防龋治疗（氟液含漱）</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003105100020200-310510002.20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氟防龋治疗（氟打磨）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003105100020300-310510002.30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003105100030000-310510003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牙脱敏治疗（使用激光脱敏仪加收）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003105100030001-310510003.01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牙脱敏治疗（氟化钠）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003105100030100-310510003.10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牙脱敏治疗（酚制剂）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003105100030200-310510003.20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口腔局部冲洗上药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003105100040000-310510004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口腔局部冲洗上药（牙周袋内上药）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003105100040100-310510004.10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口腔局部冲洗上药（粘膜病变部位上药）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003105100040200-310510004.20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不良修复体拆除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003105100050000-310510005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不良充填体拆除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003105100050100-310510005.10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牙开窗助萌术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003105100060000-310510006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牙开窗助萌术（位置异常加收）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003105100060000-310510006.01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牙开窗助萌术（各类阻生恒牙）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003105100060100-310510006.10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003105100070000-310510007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口腔局部止血（拔牙后出血）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003105100070100-310510007.10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口腔局部止血（各种口腔内局部出血的清理创面）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003105100070200-310510007.20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口腔局部止血（填塞）</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003105100070300-310510007.30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口腔局部止血（缝合）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003105100070400-310510007.40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口内脓肿切开引流术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003105100090000-310510009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牙外伤结扎固定术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003105100100000-310510010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拆除固定装置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003105100110000-310510011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拆除固定装置（去除由各种原因使用的口腔固定材料）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003105100110100-310510011.10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简单充填术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003105110010000-310511001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复杂充填术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003105110020000-310511002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复杂充填术（化学微创祛龋术）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003105110020300-310511002.10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龋齿无痛微创去腐技术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003105110020300-310512012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牙体桩钉固位修复术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003105110030000-310511003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牙体缺损粘接修复术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003105110040000-310511004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牙体缺损粘接修复术（复杂加收）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003105110040000-310511004.01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牙体缺损声波充填技术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003105110040000-310511028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充填体抛光术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003105110050000-310511005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充填体抛光术（各类充填体修整）</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003105110050100-310511005.10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003105110060000-310511006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前牙美容修复术（切角）</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003105110060100-310511006.10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前牙美容修复术（切缘）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003105110060200-310511006.20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前牙美容修复术（关闭间隙）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003105110060300-310511006.30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前牙美容修复术（畸形牙改形）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003105110060400-310511006.40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前牙美容修复术（牙体缺陷）</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003105110060500-310511006.50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310511006.60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前牙美容修复术（着色牙贴面）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003105110060600-310511006.60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树脂嵌体修复术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003105110070000-310511007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树脂嵌体修复术（高嵌体修复加收）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003105110070001-310511007.01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橡皮障隔湿法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003105110080000-310511008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003105110090000-310511009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003105110090001-310511009.01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牙脱色术（氟斑牙）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003105110090100-310511009.10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牙脱色术（四环素牙）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003105110090200-310511009.20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310511009.30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牙脱色术（变色牙）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003105110090300-310511009.30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牙齿漂白术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003105110100000-310511010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牙齿漂白术（使用特殊仪器加收）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003105110100001-310511010.01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盖髓术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003105110110000-310511011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盖髓术（龋齿的特殊检查）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003105110110100-310511011.10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牙髓失活术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003105110120000-310511012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开髓引流术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003105110130000-310511013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干髓术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003105110140000-310511014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003105110150000-310511015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根管预备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003105110160000-310511016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根管预备（磨牙加收）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003105110160001-310511016.01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310511016.02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根管预备（使用镍钛根管器械加收）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003105110160001-310511016.02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根管充填术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003105110170000-310511017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根管充填术（磨牙加收）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003105110170001-310511017.01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310511017.02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根管充填术（使用热牙胶装置加收）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003105110170001-310511017.02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003105110180000-310511018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显微根管治疗术（复杂根管治疗）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003105110180100-310511018.10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显微根管治疗术（根尖屏障制备）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003105110180200-310511018.20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003105110190000-310511019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髓腔消毒术（使用特殊仪器（微波仪等）加收）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003105110190001-310511019.01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髓腔消毒术（根管消毒）</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003105110190100-310511019.10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髓腔消毒术（髓腔消毒）</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003105110190100-310511019.30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310511019.20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髓腔消毒术（瘘管治疗）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003105110190200-310511019.20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牙髓塑化治疗术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003105110200000-310511020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003105110210000-310511021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根管再治疗术（使用特殊仪器（镍钛仪、超声仪等）加收）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003105110210001-310511021.01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根管再治疗术（取根管内充物）</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003105110210100-310511021.10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根管再治疗术（疑难根管口的定位）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003105110210200-310511021.20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根管再治疗术（不通根管的扩通）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003105110210300-310511021.30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310511021.40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根管再治疗术（取根管内折断器械）</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003105110210400-310511021.40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003105110220000-310511022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髓腔穿孔修补术（髓腔穿孔）</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003105110220000-310511022.10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003105110220001-310511022.01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髓腔穿孔修补术（根管穿孔）</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003105110220200-310511022.20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根管壁穿孔外科修补术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003105110230000-310511023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根管壁穿孔外科修补术（使用特殊仪器加收）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003105110230001-310511023.01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牙槽骨烧伤清创术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003105110240000-310511024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根管内固定术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003105110250000-310511025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劈裂牙治疗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003105110260000-310511026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劈裂牙治疗（取劈裂牙残片）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003105110260100-310511026.10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劈裂牙治疗（劈裂牙结扎）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003105110260200-310511026.20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310511027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后牙纵折固定术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003105110270000-310511027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根尖诱导成形术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003105120010000-310512001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窝沟封闭</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003105120020000-310512002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乳牙预成冠修复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003105120030000-310512003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乳牙预成冠修复（合金修复乳磨牙大面积牙体缺损）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003105120030100-310512003.10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儿童前牙树脂冠修复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003105120040000-310512004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儿童前牙树脂冠修复（树脂修复前牙大面积牙体缺损（外伤及龋患））</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003105120040100-310512004.10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制戴固定式缺隙保持器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003105120050000-310512005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制戴活动式缺隙保持器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003105120060000-310512006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制戴活动矫正器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003105120070000-310512007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制戴活动矫正器（乳牙列部分错颌畸形的矫治）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003105120070100-310512007.10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制戴活动矫正器（混合牙列部分错颌畸形的矫治）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003105120070200-310512007.20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前牙根折根牵引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003105120080000-310512008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钙化桥打通术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003105120090000-310512009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全牙列颌垫固定术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003105120100000-310512010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310512011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活髓切断术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003105120110000-310512011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洁治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003105130010000-310513001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003105130020000-310513002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龈下刮治（后牙龈下刮治加收）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003105130020001-310513002.01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龈下刮治（龈下超声刮治）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003105130020100-310513002.10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龈下刮治（手工刮治）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003105130020200-310513002.20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003105130030000-310513003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牙周固定（结扎）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003105130030100-310513003.10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牙周固定（联合固定）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003105130030200-310513003.20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去除牙周固定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003105130040000-310513004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牙面光洁术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003105130050000-310513005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牙面光洁术（洁治后抛光）</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003105130050100-310513005.10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牙面光洁术（洁治后喷砂）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003105130050200-310513005.20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牙龈保护剂塞治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003105130060000-310513006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急性坏死性龈炎局部清创</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003105130070000-310513007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急性坏死性龈炎局部清创（药物冲洗）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003105130070200-310513007.10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急性坏死性龈炎局部清创（上药）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003105130070300-310513007.20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根面平整术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003105130080000-310513008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310513008.01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根面平整术（超声根面平整加收）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003105130080001-310513008.01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310514001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口腔粘膜病系统治疗设计</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003105140010000-310514001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310514002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口腔粘膜雾化治疗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003105140020000-310514002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310514003.02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口腔粘膜病特殊治疗（微波加收）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003105140030200-310514003.02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颞下颌关节复位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003105150010000-310515001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冠周炎局部治疗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003105150020000-310515002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涎腺导管扩大术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003105150040000-310515004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310515007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腭裂术后语音训练治疗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003105150070000-310515007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310516001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颞颌关节腔内封闭治疗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003105160010000-310516001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310516001.10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颞颌关节腔内封闭治疗（药物注射）</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003105160010200-310516001.10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310516003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调磨颌垫</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003105160030000-310516003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003105170010000-310517001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310517001a</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003105170010000-310517001a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嵌体修复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003105170020000-310517002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嵌体修复（高嵌体）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003105170020200-310517002.10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嵌体修复（嵌体冠）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003105170020300-310517002.20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桩核根帽修复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003105170030000-310517003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贴面修复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003105170040000-310517004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003105170050000-310517005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199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桩冠修复（简单桩冠）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003105170050100-310517005.10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桩冠修复（铸造桩冠）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003105170050200-310517005.20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固定桥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003105170060000-310517006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固定桥（粘结桥（马里兰桥））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003105170060300-310517006.30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口腔固定修复特殊制作</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003105170070100-310517016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咬合重建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003105170080000-310517008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咬合重建（复杂冠桥修复）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003105170080100-310517008.10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003105170090000-310517009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粘结（嵌体）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003105170090100-310517009.10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003105170090200-310517009.20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310517009.30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粘结（桩核粘结（酸蚀、消毒、粘固））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003105170090300-310517009.30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003105180010000-310518001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活动桥（覆盖义齿）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003105180010000-310518001.10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活动桥（无唇翼义齿）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003105180010000-310518001.20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003105180020000-310518002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塑料可摘局部义齿（普通弯制卡环塑料可摘局部义齿）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003105180020100-310518002.10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塑料可摘局部义齿（无卡环塑料可摘局部义齿）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003105180020200-310518002.20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塑料可摘局部义齿（普通覆盖义齿）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003105180020300-310518002.30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塑料可摘局部义齿（弹性隐形义齿加收）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003105180020400-310518002.01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铸造可摘局部义齿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003105180030000-310518003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铸造可摘局部义齿（纯钛支架加工和修复安装加收）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003105180030000-310518003.01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铸造可摘局部义齿（覆盖义齿）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003105180030100-310518003.10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美容义齿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003105180040000-310518004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美容义齿（双牙列义齿）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003105180040100-310518004.10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美容义齿（化妆义齿）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003105180040200-310518004.20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即刻义齿（后牙加收）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003105180050000-310518005.01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即刻义齿（拔牙前制作即刻义齿）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003105180050100-310518005.10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即刻义齿（拔牙后即刻或数日内戴入的各类塑料义齿和暂时义齿）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003105180050200-310518005.20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310518006a</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磁性附着体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310518006b</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球帽、栓道式、套筒冠附着体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310518006c</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太极扣附着体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003105180060000-310518006c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附着体义齿（可摘义齿）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003105180060100-310518006.10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附着体义齿（固定义齿）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003105180060200-310518006.20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附着体义齿（活动固定联合修复）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003105180060300-310518006.30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总义齿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003105180070000-310518007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310518007.01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总义齿（半口收取）</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003105180070000-310518007.01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拆冠桥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003105190010000-310519001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拆冠桥（锤造冠）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003105190010000-310519001.10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拆冠桥（铸造冠拆除加收）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003105190010001-310519001.01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拆桩</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003105190020000-310519002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拆桩（预成桩）</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003105190020100-310519002.10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拆桩（各种材料的桩核）</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003105190020200-310519002.20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003105190030000-310519003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加焊（激光焊接加收）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003105190030001-310519003.01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加焊（大于2mm加收）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003105190030002-310519003.02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加焊（锡焊）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003105190030100-310519003.10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加焊（金焊）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003105190030200-310519003.20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加焊（银焊）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003105190030300-310519003.30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加装饰面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003105190040000-310519004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加装饰面（桩冠）</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003105190040100-310519004.10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加装饰面（桥体）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003105190040200-310519004.20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烤瓷冠崩瓷修理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003105190050000-310519005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烤瓷冠崩瓷修理（粘结）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003105190050100-310519005.10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烤瓷冠崩瓷修理（树脂修补）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003105190050200-310519005.20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调改义齿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003105190060000-310519006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取局部颌关系记录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003105190070000-310519007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取正中颌关系记录</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003105190080000-310519008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加人工牙</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003105190090000-310519009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003105190100000-310519010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义齿接长基托（边缘）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003105190100100-310519010.10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义齿接长基托（游离端）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003105190100200-310519010.20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义齿接长基托（义齿鞍基）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003105190100300-310519010.30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义齿裂纹及折裂修理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003105190110000-310519011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义齿组织面重衬</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003105190120000-310519012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义齿组织面重衬（硬衬）</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003105190120100-310519012.10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义齿组织面重衬（软衬）</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003105190120200-310519012.20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加卡环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003105190130000-310519013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加卡环（加钢丝）</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003105190130100-310519013.10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加卡环（铸造卡环）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003105190130200-310519013.20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增加铸造基托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003105190140000-310519014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加颌支托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003105190150000-310519015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加铸颌面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003105190160000-310519016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增加加固装置</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003105190170000-310519017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增加加固装置（加固钢丝）</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003105190170100-310519017.10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增加加固装置（加固网）</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003105190170200-310519017.20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加连接杆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003105190180000-310519018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塑料颌面加高咬合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003105190190000-310519019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弹性假牙龈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003105190200000-310519020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镀金加工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003105190210000-310519021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铸造加工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003105190220000-310519022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配金加工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003105190230000-310519023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黄金材料加工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003105190240000-310519024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加磁性固位体</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003105190250000-310519025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附着体增换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003105190260000-310519026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310519026.20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附着体增换（附着体更换）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003105190260100-310519026.20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310520001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颌垫</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003105200010000-310520001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腭护板导板矫治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003105210010000-310521001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腭护板导板矫治（间接法制作加收）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003105210010001-310521001.01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310521001.02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腭护板导板矫治（加放射治疗装置加收）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003105210010002-310521001.02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003105210020000-310521002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义颌修复（上颌骨一侧全切加收）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003105210020001-310521002.01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义颌修复（下颌骨一侧全切加收）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003105210020001-310521002.02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义颌修复（分段或分区双重印模加收）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003105210020002-310521002.03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义颌修复（中空阻塞器）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003105210020100-310521002.10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义颌修复（义齿）</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003105210020200-310521002.20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义颌修复（义耳）</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003105210020300-310521002.30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003105210020400-310521002.40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310521002.50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义颌修复（义眼）</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003105210020500-310521002.50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003105210030000-310521003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299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软腭抬高器治疗（咽阻塞器加收）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003105210030001-310521003.01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软腭抬高器治疗（制作上颌腭托）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003105210030100-310521003.10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软腭抬高器治疗（舌不良运动矫治器）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003105210030200-310521003.20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310521003.30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软腭抬高器治疗（咽阻塞器）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003105210030300-310521003.30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乳牙期安氏I类错颌正畸治疗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003105220010000-310522001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乳牙期安氏I类错颌正畸治疗（含乳牙早失、乳前牙反合的矫治）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003105220010100-310522001.10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乳牙期安氏I类错颌正畸治疗（使用间隙保持器、活动矫治器）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003105220010200-310522001.20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替牙期安氏I类错颌活动矫治器正畸治疗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003105220020000-310522002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替牙期安氏I类错颌活动矫治器正畸治疗（替牙障碍）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003105220020100-310522002.10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替牙期安氏I类错颌活动矫治器正畸治疗（不良口腔习惯的矫治）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003105220020200-310522002.20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003105220030000-310522003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替牙期安氏I类错颌固定矫治器正畸治疗（使用简单固定矫治器）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003105220030100-310522003.10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替牙期安氏I类错颌固定矫治器正畸治疗（使用常规固定矫治器治疗）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003105220030200-310522003.20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003105220040000-310522004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恒牙期安氏I类错颌固定矫治器正畸治疗（拥挤不拔牙病例）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003105220040100-310522004.10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恒牙期安氏I类错颌固定矫治器正畸治疗（牙列间隙病例）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003105220040200-310522004.20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恒牙期安氏I类错颌固定矫治器正畸治疗（简单拥挤双尖牙拔牙病例）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003105220040300-310522004.30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003105220050000-310522005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乳牙期安氏Ⅱ类错颌正畸治疗（乳牙早失、上頦前突、乳前牙反合的矫治）</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003105220050100-310522005.10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乳牙期安氏Ⅱ类错颌正畸治疗（使用间隙保持器、活动矫治器治疗）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003105220050200-310522005.20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替牙期安氏Ⅱ类错颌口腔不良习惯正畸治疗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003105220060000-310522006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替牙期安氏Ⅱ类错颌口腔不良习惯正畸治疗（简单固定矫治器）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003105220060100-310522006.10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替牙期安氏Ⅱ类错颌口腔不良习惯正畸治疗（活动矫治器）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003105220060200-310522006.20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替牙期牙性安氏Ⅱ类错颌活动矫治器正畸治疗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003105220070000-310522007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替牙期牙性安氏Ⅱ类错颌活动矫治器正畸治疗（含替牙障碍）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003105220070100-310522007.10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替牙期牙性安氏Ⅱ类错颌活动矫治器正畸治疗（上颌前突）</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003105220070200-310522007.20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003105220080000-310522008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替牙期牙性安氏Ⅱ类错颌固定矫治器正畸治疗（简单固定矫正器）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003105220080100-310522008.10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替牙期牙性安氏Ⅱ类错颌固定矫治器正畸治疗（常规固定矫正器）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003105220080200-310522008.20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替牙期骨性安氏Ⅱ类错颌正畸治疗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003105220090000-310522009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替牙期骨性安氏Ⅱ类错颌正畸治疗（严重上颌前突）</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003105220090100-310522009.10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替牙期骨性安氏Ⅱ类错颌正畸治疗（活动矫治器治疗或简单固定矫治器）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003105220090200-310522009.20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恒牙早期安氏Ⅱ类错颌功能矫治器治疗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003105220100000-310522010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恒牙早期安氏Ⅱ类错颌功能矫治器治疗（严重牙性Ⅱ类错颌和骨性Ⅱ类错颌）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003105220100100-310522010.10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恒牙早期安氏Ⅱ类错颌功能矫治器治疗（使用Frankel功能矫治器Ⅱ型或Activator功能矫治器，其他功能矫治器）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003105220100200-310522010.20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恒牙期牙性安氏Ⅱ类错颌固定矫治器治疗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003105220110000-310522011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恒牙期牙性安氏Ⅱ类错颌固定矫治器治疗（牙性安氏Ⅱ类错颌拥挤不拔牙病例）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003105220110100-310522011.10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恒牙期牙性安氏Ⅱ类错颌固定矫治器治疗（简单拥挤拔牙病例）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003105220110200-310522011.20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恒牙期骨性安氏Ⅱ类错颌固定矫治器拔牙治疗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003105220120000-310522012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恒牙期骨性安氏Ⅱ类错颌固定矫治器拔牙治疗（骨性安氏Ⅱ类错颌拔牙病例）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003105220120100-310522012.10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乳牙期安氏Ⅲ类错颌正畸治疗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003105220130000-310522013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乳牙期安氏ⅡI类错颌正畸治疗（乳前牙反合）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003105220130100-310522013.10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乳牙期安氏ⅡI类错颌正畸治疗（使用活动矫治器或下颌连冠式斜面导板治疗）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003105220130200-310522013.20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替牙期安氏Ⅲ类错颌正畸治疗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003105220140000-310522014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替牙期安氏ⅡI类错颌正畸治疗（前牙反颌）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003105220140100-310522014.10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替牙期安氏ⅡI类错颌正畸治疗（使用活动矫治器）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003105220140200-310522014.20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替牙期安氏Ⅲ类错颌功能矫治器治疗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003105220150000-310522015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替牙期安氏ⅡI类错颌功能矫治器治疗（严重牙性Ⅲ类错颌和骨性Ⅲ类错颌）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003105220150100-310522015.10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替牙期安氏ⅡI类错颌功能矫治器治疗（使用Rankel功能矫治器Ⅲ型、其他功能矫治器）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003105220150200-310522015.20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恒牙期安氏Ⅲ类错颌固定矫治器治疗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003105220160000-310522016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恒牙期安氏ⅡI类错颌固定矫治器治疗（牙性安氏Ⅲ类错颌拥挤不拔牙病例）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003105220160100-310522016.10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恒牙期安氏ⅡI类错颌固定矫治器治疗（简单拥挤拔牙病例）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003105220160200-310522016.20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恒牙期骨性安氏Ⅲ类错颌固定矫治器拔牙治疗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003105220170000-310522017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恒牙期骨性安氏ⅡI类错颌固定矫治器拔牙治疗（骨性安氏Ⅲ类错颌拔牙病例）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003105220170100-310522017.10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牙周病伴错颌畸形活动矫治器正畸治疗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003105220180000-310522018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牙周病伴错颌畸形活动矫治器正畸治疗（局部牙周炎的正畸治疗）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003105220180100-310522018.10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牙周病伴错颌畸形固定矫治器正畸治疗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003105220190000-310522019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牙周病伴错颌畸形固定矫治器正畸治疗（局部牙周炎的正畸治疗）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003105220190100-310522019.10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颌创伤正畸治疗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003105220200000-310522020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合创伤正畸治疗（由咬合因素引起的颌创伤）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003105220200100-310522020.10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合创伤正畸治疗（用活动矫治器或固定矫治器治疗）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003105220200200-310522020.20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003105220210000-310522021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单侧唇腭裂序列正畸治疗（单侧牙槽突裂）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003105220210100-310522021.10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单侧唇腭裂序列正畸治疗（无骨骼畸形和面部畸形）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003105220210200-310522021.20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单侧唇腭裂序列正畸治疗（腭托使用的正畸治疗）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003105220210300-310522021.30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310522021.40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侧唇腭裂序列正畸治疗（面部畸形）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003105220210400-310522021.40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早期颜面不对称正畸治疗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003105220220000-310522022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早期颜面不对称正畸治疗（替牙期由错颌引起或颜面不对称伴错颌的病例）</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003105220220100-310522022.10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早期颜面不对称正畸治疗（使用活动矫治器和固定矫治器）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003105220220200-310522022.20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恒牙期颜面不对称正畸治疗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003105220230000-310522023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恒牙期颜面不对称正畸治疗（恒牙期由错颌引起或颜面不对称伴错颌的早期正畸治疗）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003105220230100-310522023.10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恒牙期颜面不对称正畸治疗（用活动矫治器或固定矫治器）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003105220230200-310522023.20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颅面畸形正畸治疗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003105220240000-310522024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颅面畸形正畸治疗（Crouzon综合征、Apert综合征、Treacher-Collins综合征）</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003105220240100-310522024.10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颅面畸形正畸治疗（用活动矫治器或固定矫治器治疗）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003105220240200-310522024.20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颞下颌关节病正畸治疗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003105220250000-310522025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颞下颌关节病正畸治疗（颞下颌关节的弹响、疼痛、关节盘移位等的正畸治疗）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003105220250100-310522025.10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颞下颌关节病正畸治疗（用活动矫治器或固定矫治器治疗）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003105220250200-310522025.20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003105220260000-310522026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正颌外科术前术后正畸治疗（安氏Ⅱ类严重骨性错颌）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003105220260100-310522026.10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正颌外科术前术后正畸治疗（安氏ⅡI类严重骨性错颌）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003105220260200-310522026.20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正颌外科术前术后正畸治疗（严重骨性开颌）</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003105220260300-310522026.30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正颌外科术前术后正畸治疗（严重腭裂）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003105220260400-310522026.40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正颌外科术前术后正畸治疗（面部偏斜）</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003105220260500-310522026.50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310522026.60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正颌外科术前术后正畸治疗（其他颅面畸形的正颌外科术前、术后正畸治疗）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003105220260600-310522026.60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310522026.70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正颌外科术前术后正畸治疗（使用固定矫治器治疗）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003105220260700-310522026.70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睡眠呼吸暂停综合征（OSAS）正畸治疗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003105220270000-310522027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睡眠呼吸暂停综合征（OSAS）正畸治疗（各种表现的睡眠呼吸暂停及相应错颌的正畸治疗）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003105220270100-310522027.10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310522028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正畸保持器治疗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003105220280000-310522028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颜面赝复体种植修复（眼缺损修复）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003105230050200-310523007.10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颜面赝复体种植修复（耳缺损修复）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003105230050400-310523007.20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颜面赝复体种植修复（鼻缺损修复）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003105230050600-310523007.30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颜面赝复体种植修复（颌面缺损修复）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003105230050700-310523007.40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310523007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颜面赝复体种植修复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003105230070000-310523007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乳牙拔除术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003306040010000-330604001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003306040020000-330604002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前磨牙拔除术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003306040030000-330604003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磨牙拔除术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003306040040000-330604004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003306040050000-330604005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复杂牙拔除术（使用特殊器械下的微创拨牙加收）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003306040050000-330604005.01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003306040060000-330604006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阻生牙拔除术（使用特殊器械下的微创拨牙加收）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003306040060000-330604006.03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HHS65309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萌出阻生牙拔除术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003306040060000-HHS65309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HHS-HHV.01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使用特殊器械下的微创拨牙加收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003306040060000-HHS-HHV.01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阻生牙拔除术（完全骨阻生加收）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003306040060200-330604006.01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HHS65310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未完全萌出阻生牙拔除术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003306040060200-HHS65310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330604006.02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阻生牙拔除术（多生牙加收）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003306040060300-330604006.02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HHS65311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骨性埋藏阻生牙拔除术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003306040060300-HHS65311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003306040070000-330604007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拔牙创面搔刮术（干槽症）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003306040070100-330604007.10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拔牙创面搔刮术（拔牙后出血）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003306040070200-330604007.20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拔牙创面搔刮术（拔牙创面愈合不良）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003306040070300-330604007.30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003306040080000-330604008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牙再植术（嵌入）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003306040080100-330604008.10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牙再植术（移位）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003306040080200-330604008.20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330604008.30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牙再植术（脱落）</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003306040080300-330604008.30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003306040090000-330604009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牙移植术（自体牙移植）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003306040090100-330604009.10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牙移植术（异体牙移植）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003306040090200-330604009.20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牙槽骨修整术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003306040100000-330604010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牙槽骨修整术（增加一个牙加收）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003306040100000-330604010.01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口腔上颌窦瘘修补术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003306040140000-330604014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修复前软组织成型术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003306040170000-330604017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阻生智齿龈瓣整形术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003306040180000-330604018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牙槽突骨折结扎固定术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003306040190000-330604019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牙槽突骨折结扎固定术（牵引复位固定）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003306040190100-330604019.10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颌骨病灶刮除术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003306040200000-330604020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根端囊肿摘除术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003306040220000-330604022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牙齿萌出囊肿袋形术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003306040230000-330604023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牙外科正畸术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003306040250000-330604025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根尖切除术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003306040260000-330604026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根尖搔刮术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003306040270000-330604027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003306040290000-330604029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牙龈翻瓣术（根向切口加收）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003306040290001-330604029.01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牙龈翻瓣术（冠向复位切口加收）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003306040290002-330604029.02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330604029.03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牙龈翻瓣术（远中楔形切除加收）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003306040290003-330604029.03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牙龈再生术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003306040300000-330604030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003306040310000-330604031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牙龈切除术（增加一个牙加收）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003306040310000-330604031.01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牙龈切除术（牙龈成形）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003306040310100-330604031.10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显微根管外科手术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003306040320000-330604032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龈瘤切除术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003306040350000-330604035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龈瘤切除术（增加一个牙加收）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003306040350000-330604035.01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003306040360000-330604036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330604037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截根术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003306040370000-330604037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引导性牙周组织再生术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003306040400000-330604040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松动牙根管内固定术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003306040410000-330604041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牙周组织瓣移植术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003306040420000-330604042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牙周组织瓣移植术（游离龈瓣移植）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003306040420100-330604042.10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牙周组织瓣移植术（牙龈结缔组织瓣移植）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003306040420200-330604042.20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330604043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牙周纤维环状切断术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003306040430000-330604043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口腔颌面部小肿物切除术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003306050010000-330605001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口腔颌面部小肿物切除术（颌面部加收）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003306050010000-330605001.01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003306050130000-330605013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颌骨良性病变切除术（上颌窦相通加收）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003306050130000-330605013.01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颌骨良性病变切除术（发生病理性骨折加收）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003306050130000-330605013.02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颌骨良性病变切除术（上颌骨骨髓炎）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003306050130100-330605013.10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颌骨良性病变切除术（下颌骨骨髓炎）</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003306050130200-330605013.20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颌骨良性病变切除术（良性肿瘤）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003306050130300-330605013.30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颌骨良性病变切除术（瘤样病变）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003306050130400-330605013.40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330605013.50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颌骨良性病变切除术（各类囊肿的切除术（含刮治术））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003306050130500-330605013.50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涎腺导管结石取石术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003306050320000-330605032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涎腺导管结石取石术（颌下腺）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003306050320100-330605032.10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涎腺导管结石取石术（腮腺）</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003306050320200-330605032.20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003306060010000-330606001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003306060010100-330606001.10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系带成形术（颊）</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003306060010200-330606001.20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系带成形术（舌系带）</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003306060010300-330606001.30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齿龈成形术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003306060250000-330606025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齿龈成形术（游离粘膜移植）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003306060250100-330606025.10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齿龈成形术（游离植皮术）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003306060250200-330606025.20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330606039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003306060390000-330606039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颌骨骨折颌间固定术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003306080050000-330608005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单颌牙弓夹板拆除术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003306080170000-330608017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颌间固定拆除术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003306080180000-330608018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330609003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下齿槽神经移位术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003306090030000-330609003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310510013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无回吸口腔治疗术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503105100150000-310510013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310508002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测色仪检查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003105080020000-310508002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310501011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口腔内镜检查</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003105010110000-310501011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上颌窦开窗异物取出术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003306040150000-330604015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330604021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皮肤瘘管切除术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003306040210000-330604021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颌下腺移植术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003306050030000-330605003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涎腺瘘切除修复术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003306050040000-330605004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下颌骨部分切除术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003306050050000-330605005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330605005.01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下颌骨部分切除术（双侧加收）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003306050050000-330605005.01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下颌骨半侧切除术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003306050060000-330605006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下颌骨半侧切除术（双侧加收）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003306050060000-330605006.01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003306050070000-330605007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下颌骨扩大切除术（双侧加收）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003306050070000-330605007.01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上颌骨部分切除术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003306050090000-330605009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330605009.01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上颌骨部分切除术（双侧加收）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003306050090000-330605009.01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上颌骨次全切除术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003306050100000-330605010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上颌骨次全切除术（双侧加收）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003306050100000-330605010.01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上颌骨全切术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003306050110000-330605011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上颌骨全切术（双侧加收）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003306050110000-330605011.01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003306050120000-330605012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上颌骨扩大切除术（双侧加收）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003306050120000-330605012.01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舌恶性肿物切除术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003306050150000-330605015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舌恶性肿物切除术（肿物切除（舌部分、半舌、全舌切除术））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003306050150100-330605015.10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舌恶性肿物切除术（舌整复（舌部分、半舌、全舌切除术））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003306050150100-330605015.20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499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舌根部肿瘤切除术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003306050160000-330605016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颊部恶性肿物局部扩大切除术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003306050170000-330605017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口底皮样囊肿摘除术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003306050180000-330605018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口底恶性肿物局部扩大切除术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003306050190000-330605019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口底恶性肿物局部扩大切除术（肿物切除及邻位瓣修复）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003306050190100-330605019.10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003306050210000-330605021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口腔颌面颈部异物取出术（陈旧性异物加收）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003306050210000-330605021.01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口腔颌面颈部异物取出术（枪弹）</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003306050210100-330605021.10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口腔颌面颈部异物取出术（碎屑）</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003306050210200-330605021.20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口腔颌面颈部异物取出术（玻璃）</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003306050210300-330605021.30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腭部肿物局部扩大切除术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003306050230000-330605023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003306050240000-330605024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颞部肿物切除术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003306050250000-330605025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颞部肿物切除术（肿物切除及邻位瓣修复）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003306050250100-330605025.10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颌骨骨纤维异常增殖症切除成形术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003306050260000-330605026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颌骨异常骨组织切除及邻近软组织成形术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003306050260100-330605026.10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腮腺浅叶肿物切除术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003306050270000-330605027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腮腺区肿物切除术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003306050270100-330605027.10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腮腺浅叶切除及面神经解剖术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003306050270200-330605027.20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腮腺全切除术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003306050280000-330605028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腮腺全切除术（升支截断复位固定加收）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003306050280001-330605028.01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腮腺深叶肿物切除术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003306050280100-330605028.10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腮腺切除及面神经解剖术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003306050280200-330605028.20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腮腺恶性肿物扩大切除术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003306050290000-330605029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腮腺恶性肿物扩大切除术（腮腺深叶肿物切除）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003306050290100-330605029.10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330605029.20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腮腺恶性肿物扩大切除术（腮腺切除及面神经解剖术）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003306050290200-330605029.20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鳃裂囊肿切除术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003306050310000-330605031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鳃裂囊肿切除术（简单瘘切除收取）</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003306050310100-330605031.01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330605031.02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鳃裂囊肿切除术（复杂鳃裂囊肿切除加收）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003306050310100-330605031.02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颌面颈部深部肿物探查术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003306050330000-330605033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颌面颈部深部肿物探查术（肿物切除术加收）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003306050330001-330605033.01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330605036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颌下腺切除术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003306050360000-330605036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巨舌畸形矫正术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003306060020000-330606002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舌再造术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003306060030000-330606003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003306060090000-330606009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唇畸形矫正术（厚唇）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003306060090100-330606009.10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唇畸形矫正术（重唇）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003306060090200-330606009.20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唇畸形矫正术（薄唇）</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003306060090300-330606009.30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330606009.50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唇畸形矫正术（唇弓不齐）</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003306060090500-330606009.50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003306060100000-330606010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唇缺损修复术（部分缺损）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003306060100100-330606010.10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唇缺损修复术（全唇缺损）</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003306060100200-330606010.20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唇缺损修复术（唇正中裂修复）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003306060100000-330606010.30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003306060110000-330606011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003306060110001-330606011.01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单侧不完全唇裂修复术（唇裂修复）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003306060110000-330606011.10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单侧不完全唇裂修复术（唇功能性修复）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003306060110300-330606011.20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单侧完全唇裂修复术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003306060120000-330606012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330606012.01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单侧完全唇裂修复术（双侧加收）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003306060120001-330606012.01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单侧完全唇裂修复术（唇功能性修复）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003306060120300-330606012.10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犁骨瓣修复术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003306060130000-330606013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003306060140000-330606014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Ⅰ°腭裂兰氏修复术（悬雍垂裂）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003306060140100-330606014.10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Ⅰ°腭裂兰氏修复术（软腭裂）</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003306060140200-330606014.20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Ⅰ°腭裂兰氏修复术（隐裂修复术）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003306060140300-330606014.30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Ⅱ°腭裂兰氏修复术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003306060150000-330606015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Ⅱ°腭裂兰氏修复术（硬腭裂修复术）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003306060150100-330606015.10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Ⅱ°腭裂兰氏修复术（软腭裂修复术）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003306060150200-330606015.20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003306060160000-330606016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003306060160001-330606016.01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ⅡI°腭裂兰氏修复术（单侧完全性腭裂修复术）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003306060160100-330606016.10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ⅡI°腭裂兰氏修复术（硬腭鼻腔面犁骨瓣修复术）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003306060160200-330606016.20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003306060170000-330606017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003306060170001-330606017.01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反向双“Z“腭裂修复术（腭裂兰氏修复）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003306060170100-330606017.10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反向双“Z“腭裂修复术（软腭延长术）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003306060170200-330606017.20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003306060180000-330606018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003306060180001-330606018.01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单瓣二瓣后退腭裂修复术（腭裂兰氏修复）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003306060180100-330606018.10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单瓣二瓣后退腭裂修复术（硬腭前部瘘修复术）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003306060180200-330606018.20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330606018.30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单瓣二瓣后退腭裂修复术（软腭延长术）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003306060180300-330606018.30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003306060190000-330606019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003306060190001-330606019.01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腭咽环扎腭裂修复术（腭裂兰氏修复）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003306060190100-330606019.10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330606019.20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腭咽环扎腭裂修复术（腭咽腔缩窄术）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003306060190200-330606019.20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003306060200000-330606020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组织瓣转移腭裂修复术（增加一侧加收）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003306060200001-330606020.01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组织瓣转移腭裂修复术（腭粘膜瓣后推）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003306060200100-330606020.10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组织瓣转移腭裂修复术（颊肌粘膜瓣转移术）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003306060200200-330606020.20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003306060240000-330606024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牙槽突裂植骨成形术（取骨加收）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003306060240000-330606024.01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牙槽突裂植骨成形术（牙槽突成形术）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003306060240100-330606024.10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牙槽突裂植骨成形术（口腔前庭瘘修补术）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003306060240200-330606024.20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牙槽突裂植骨成形术（鼻腔前庭瘘修补术）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003306060240300-330606024.30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面横裂修复术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003306060270000-330606027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面横裂修复术（面斜裂修复术）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003306060270100-330606027.10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330606028.50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003306060280200-330606028.50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330606029.10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003306060290100-330606029.10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330606042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颌间挛缩松解术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003306060420000-330606042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　</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003306070010000-330607001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上颌雷弗特I型截骨术（LeFort）（上颌雷弗特（LeFort）I型分块截骨术）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003306070010100-330607001.10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003306070010200-330607001.20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上颌雷弗特I型截骨术（LeFort）（植骨术）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003306070010300-330607001.30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003306070020000-330607002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上颌雷弗特Ⅱ型截骨术（LeFort）（骨截开）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003306070020100-330607002.10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003306070020200-330607002.20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上颌雷弗特Ⅱ型截骨术（LeFort）（植骨术）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003306070020300-330607002.30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003306070030000-330607003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上颌雷弗特ⅡI型截骨术（LeFort）（骨截开）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003306070030100-330607003.10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003306070030200-330607003.20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599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上颌雷弗特ⅡI型截骨术（LeFort）（植骨术）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003306070030300-330607003.30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003306070040000-330607004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上颌牙骨段截骨术（上颌前部截骨术）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003306070040100-330607004.10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上颌牙骨段截骨术（后部截骨术）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003306070040200-330607004.20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003306070040300-330607004.30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330607004.40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上颌牙骨段截骨术（植骨术）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003306070040400-330607004.40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003306070050000-330607005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下颌升支截骨术（下颌升支矢状劈开截骨术）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003306070050100-330607005.10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下颌升支截骨术（口内入路下颌升支垂直截骨术）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003306070050200-330607005.20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下颌升支截骨术（口外入路下颌升支垂直截骨术）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003306070050300-330607005.30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下颌升支截骨术（下颌升支倒L形截骨术）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003306070050400-330607005.40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下颌升支截骨术（C形截骨术）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003306070050500-330607005.50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330607005.60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下颌升支截骨术（骨内坚固内固定术）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003306070050600-330607005.60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003306070060000-330607006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下颌体部截骨术（下颌体部修整术）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003306070060100-330607006.10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下颌体部截骨术（去皮质术骨内坚固内固定术）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003306070060200-330607006.20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330607006.30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下颌体部截骨术（植骨术）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003306070060300-330607006.30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003306070070000-330607007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下颌根尖下截骨术（下颌后部根尖下截骨术）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003306070070100-330607007.10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003306070070200-330607007.20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619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下颌根尖下截骨术（植骨术）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003306070070300-330607007.30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下颌下缘去骨成形术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003306070080000-330607008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下颌骨去骨皮质术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003306070090000-330607009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003306070100000-330607010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下颌角嚼肌肥大畸形矫正术（下颌角的三角形去骨术）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003306070100100-330607010.10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下颌角嚼肌肥大畸形矫正术（改良下颌升支矢状劈开去骨术）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003306070100200-330607010.20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下颌角嚼肌肥大畸形矫正术（嚼肌部分切除术）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003306070100300-330607010.30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003306070110000-330607011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水平截骨颏成形术（各种不同改良的颏部截骨术）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003306070110100-330607011.10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003306070110200-330607011.20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629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水平截骨颏成形术（植骨术）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003306070110300-330607011.30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颌骨延长骨生成术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003306070130000-330607013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颌骨延长骨生成术（上下颌骨各部分截骨）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003306070130100-330607013.10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颌骨延长骨生成术（骨延长器置入术）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003306070130200-330607013.20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003306070140000-330607014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颧骨颧弓成形术（矫正颧骨颧弓过宽畸形的截骨）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003306070140100-330607014.10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颧骨颧弓成形术（矫正颧骨颧弓过窄畸形的截骨）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003306070140200-330607014.20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颧骨颧弓成形术（骨内坚固内固定术）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003306070140300-330607014.30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330607014.40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颧骨颧弓成形术（植骨术）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003306070140400-330607014.40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003306070150000-330607015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639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颞下颌关节盘手术（颞下颌关节盘摘除术）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003306070150100-330607015.10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颞下颌关节盘手术（颞下颌关节盘复位固定术）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003306070150200-330607015.20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330607015.30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颞下颌关节盘手术（颞肌瓣或其他生物性材料植入修复术）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003306070150300-330607015.30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髁状突高位切除术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003306070160000-330607016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330607016.10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髁状突高位切除术（髁状突关节面磨光术）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003306070160100-330607016.10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003306070170000-330607017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颞下颌关节成形术（骨球截除术）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003306070170100-330607017.10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颞下颌关节成形术（喙突截除术）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003306070170200-330607017.20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颞下颌关节成形术（植骨床制备术）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003306070170300-330607017.30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330607017.40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颞下颌关节成形术（骨及代用品植入术）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003306070170400-330607017.40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649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003306080010000-330608001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口腔颌面软组织清创术（大）（浅表异物清除）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003306080010100-330608001.10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口腔颌面软组织清创术（大）（创面清洗）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003306080010200-330608001.20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口腔颌面软组织清创术（大）（组织处理）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003306080010300-330608001.30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003306080010400-330608001.40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330608001.50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口腔颌面软组织清创术（大）（口腔颌面软组织裂伤缝合）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003306080010500-330608001.50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003306080020000-330608002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口腔颌面软组织清创术（中）（浅表异物清除）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003306080020100-330608002.10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口腔颌面软组织清创术（中）（创面清洗）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003306080020200-330608002.20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口腔颌面软组织清创术（中）（组织处理）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003306080020300-330608002.30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659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003306080020400-330608002.40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330608002.50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口腔颌面软组织清创术（中）（口腔颌面软组织裂伤缝合）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003306080020500-330608002.50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003306080030000-330608003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口腔颌面软组织清创术（小）（浅表异物清除）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003306080030100-330608003.10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口腔颌面软组织清创术（小）（创面清洗）</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003306080030200-330608003.20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口腔颌面软组织清创术（小）（组织处理）</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003306080030300-330608003.30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口腔颌面软组织清创术（小）（止血）</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003306080030400-330608003.40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330608003.50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口腔颌面软组织清创术（小）（口腔颌面软组织裂伤缝合）</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003306080030500-330608003.50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003306080070000-330608007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髁状突陈旧性骨折整复术（髁状突摘除）</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003306080070100-330608007.10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669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髁状突陈旧性骨折整复术（髁状突复位）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003306080070200-330608007.20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髁状突陈旧性骨折整复术（内固定）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003306080070300-330608007.30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髁状突陈旧性骨折整复术（升支截骨）</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003306080070400-330608007.40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330608007.50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髁状突陈旧性骨折整复术（关节成形）</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003306080070500-330608007.50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髁状突骨折切开复位内固定术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003306080080000-330608008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003306080090000-330608009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330608009.01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下颌骨骨折切开复位内固定术（多发性每增加一处加收）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003306080090000-330608009.01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003306080100000-330608010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003306080110000-330608011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330608011.10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颧骨骨折切开复位内固定术（颧弓骨折）</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003306080110100-330608011.10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679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颧弓骨折复位术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2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003306080120000-330608012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颧骨上颌骨复合骨折切开复位内固定术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003306080130000-330608013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330608013.01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颧骨上颌骨复合骨折切开复位内固定术（双侧颧骨骨折加收）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003306080130001-330608013.01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330608013.02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颧骨上颌骨复合骨折切开复位内固定术（双侧颧弓骨折加收）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003306080130001-330608013.02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眶鼻额区骨折整复术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003306080140000-330608014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颧骨陈旧性骨折截骨整复术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003306080150000-330608015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颧骨陈旧性骨折植骨矫治术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003306080160000-330608016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330608019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骨内固定植入物取出术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003306080190000-330608019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下颌骨缺损植骨修复术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003306080200000-330608020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下颌骨缺损网托碎骨移植术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003306080210000-330608021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689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下颌骨缺损钛板重建术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003306080240000-330608024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下颌骨陈旧性骨折整复术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003306080250000-330608025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上颌骨缺损植骨修复术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003306080260000-330608026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003306080270000-330608027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上颌骨陈旧性骨折整复术（手术复位）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003306080270100-330608027.10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上颌骨陈旧性骨折整复术（颌间固定骨间固定）</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003306080270200-330608027.20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330608027.30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上颌骨陈旧性骨折整复术（邻位瓣修复）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003306080270300-330608027.30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330609005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游离骨移植颌骨重建术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003306090050000-330609005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697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HBN73305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颅底肿物切除术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sz w:val="24"/>
                <w:szCs w:val="24"/>
                <w:u w:val="none"/>
              </w:rPr>
            </w:pPr>
            <w:r>
              <w:rPr>
                <w:rFonts w:hint="eastAsia" w:ascii="Times New Roman" w:hAnsi="Times New Roman" w:eastAsia="方正仿宋_GB2312" w:cs="方正仿宋_GB2312"/>
                <w:i w:val="0"/>
                <w:iCs w:val="0"/>
                <w:color w:val="000000"/>
                <w:kern w:val="0"/>
                <w:sz w:val="24"/>
                <w:szCs w:val="24"/>
                <w:u w:val="none"/>
                <w:lang w:val="en-US" w:eastAsia="zh-CN" w:bidi="ar"/>
              </w:rPr>
              <w:t>003302010410000-HBN73305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698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003306060280000-330606028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699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口腔颌面部软组织缺损局部组织瓣修复术（唇缺损修复）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003306060280100-330606028.10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口腔颌面部软组织缺损局部组织瓣修复术（颊缺损修复）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003306060280300-330606028.20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口腔颌面部软组织缺损局部组织瓣修复术（腭缺损修复）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003306060280400-330606028.30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口腔颌面部软组织缺损局部组织瓣修复术（口底缺损修复）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003306060280500-330606028.40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330606028.50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口腔颌面部软组织缺损局部组织瓣修复术（舌再造修复）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003306060280200-330606028.50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003306060290000-330606029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330606029.10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口腔颌面部软组织缺损游离瓣移植修复术（舌再造修复）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003306060290100-330606029.10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330606029.20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口腔颌面部软组织缺损游离瓣移植修复术（颊缺损修复）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003306060290200-330606029.20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707</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口腔颌面部软组织缺损游离瓣移植修复术（腭缺损修复）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003306060290300-330606029.30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708</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330606029.40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口腔颌面部软组织缺损游离瓣移植修复术（口底缺损修复）</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003306060290400-330606029.40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709</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330606030</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口腔颌面部联合缺损带血管游离肌皮骨瓣修复修复术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003306060300000-330606030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710</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330606030.01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口腔颌面部联合缺损带血管游离肌皮骨瓣修复修复术（显微吻合加收）</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003306060300000-330606030.01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711</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330606031</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口腔颌面部骨缺损游离骨瓣移植修复术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003306060310000-330606031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287"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712</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330606032</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颜面部软组织不对称局部组织瓣修复畸形矫正术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003306060320000-330606032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713</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330606033</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颜面部软组织不对称带血管游离组织瓣修复畸形矫正术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003306060330000-330606033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714</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330606034</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口腔颌面部缺损颞肌筋膜瓣修复术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003306060340000-330606034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715</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330606035</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口腔颌面部软组织缺损远位皮瓣修复术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003306060350000-330606035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center"/>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716</w:t>
            </w:r>
          </w:p>
        </w:tc>
        <w:tc>
          <w:tcPr>
            <w:tcW w:w="734"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330606036</w:t>
            </w:r>
          </w:p>
        </w:tc>
        <w:tc>
          <w:tcPr>
            <w:tcW w:w="220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口腔颌面部软组织缺损远位肌皮瓣修复术</w:t>
            </w:r>
          </w:p>
        </w:tc>
        <w:tc>
          <w:tcPr>
            <w:tcW w:w="156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val="0"/>
              <w:spacing w:line="360" w:lineRule="exact"/>
              <w:ind w:left="0" w:leftChars="0" w:right="0" w:rightChars="0" w:firstLine="0" w:firstLineChars="0"/>
              <w:jc w:val="left"/>
              <w:textAlignment w:val="center"/>
              <w:rPr>
                <w:rFonts w:hint="eastAsia" w:ascii="Times New Roman" w:hAnsi="Times New Roman" w:eastAsia="方正仿宋_GB2312" w:cs="方正仿宋_GB2312"/>
                <w:i w:val="0"/>
                <w:iCs w:val="0"/>
                <w:color w:val="000000"/>
                <w:kern w:val="0"/>
                <w:sz w:val="24"/>
                <w:szCs w:val="24"/>
                <w:u w:val="none"/>
                <w:lang w:val="en-US" w:eastAsia="zh-CN" w:bidi="ar"/>
              </w:rPr>
            </w:pPr>
            <w:r>
              <w:rPr>
                <w:rFonts w:hint="eastAsia" w:ascii="Times New Roman" w:hAnsi="Times New Roman" w:eastAsia="方正仿宋_GB2312" w:cs="方正仿宋_GB2312"/>
                <w:i w:val="0"/>
                <w:iCs w:val="0"/>
                <w:color w:val="000000"/>
                <w:kern w:val="0"/>
                <w:sz w:val="24"/>
                <w:szCs w:val="24"/>
                <w:u w:val="none"/>
                <w:lang w:val="en-US" w:eastAsia="zh-CN" w:bidi="ar"/>
              </w:rPr>
              <w:t>003306060360000-330606036</w:t>
            </w:r>
          </w:p>
        </w:tc>
      </w:tr>
    </w:tbl>
    <w:p>
      <w:pPr>
        <w:rPr>
          <w:rFonts w:hint="default" w:ascii="Calibri" w:hAnsi="Calibri" w:eastAsia="宋体" w:cs="Times New Roman"/>
          <w:lang w:val="en-US" w:eastAsia="zh-CN"/>
        </w:rPr>
      </w:pPr>
    </w:p>
    <w:p>
      <w:pPr>
        <w:rPr>
          <w:rFonts w:hint="default" w:ascii="Calibri" w:hAnsi="Calibri" w:eastAsia="宋体" w:cs="Times New Roman"/>
          <w:lang w:val="en-US" w:eastAsia="zh-CN"/>
        </w:rPr>
      </w:pPr>
    </w:p>
    <w:p>
      <w:pPr>
        <w:snapToGrid w:val="0"/>
        <w:spacing w:line="540" w:lineRule="exact"/>
        <w:rPr>
          <w:rFonts w:ascii="Times New Roman" w:hAnsi="Times New Roman" w:eastAsia="方正小标宋_GBK" w:cs="方正小标宋_GBK"/>
          <w:vanish/>
          <w:sz w:val="44"/>
          <w:szCs w:val="44"/>
        </w:rPr>
      </w:pPr>
    </w:p>
    <w:p>
      <w:pPr>
        <w:rPr>
          <w:rFonts w:ascii="方正仿宋_GBK" w:hAnsi="Calibri" w:eastAsia="方正仿宋_GBK" w:cs="Times New Roman"/>
          <w:b/>
          <w:bCs/>
          <w:vanish/>
          <w:sz w:val="32"/>
          <w:szCs w:val="32"/>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spacing w:line="600" w:lineRule="exact"/>
        <w:ind w:firstLine="440" w:firstLineChars="200"/>
        <w:jc w:val="both"/>
        <w:rPr>
          <w:rFonts w:ascii="Helvetica" w:hAnsi="Helvetica" w:eastAsia="Helvetica" w:cs="Helvetica"/>
          <w:snapToGrid w:val="0"/>
          <w:vanish/>
          <w:color w:val="000000"/>
          <w:sz w:val="22"/>
          <w:szCs w:val="22"/>
          <w:lang w:val="en-US" w:eastAsia="zh-CN" w:bidi="ar-SA"/>
        </w:rPr>
      </w:pPr>
    </w:p>
    <w:p>
      <w:pPr>
        <w:rPr>
          <w:rFonts w:ascii="Times New Roman" w:hAnsi="Times New Roman" w:eastAsia="方正小标宋_GBK" w:cs="方正小标宋_GBK"/>
          <w:vanish/>
          <w:sz w:val="44"/>
          <w:szCs w:val="44"/>
        </w:rPr>
      </w:pPr>
      <w:r>
        <w:rPr>
          <w:rFonts w:ascii="Times New Roman" w:hAnsi="Times New Roman" w:eastAsia="方正小标宋_GBK" w:cs="方正小标宋_GBK"/>
          <w:vanish/>
          <w:sz w:val="44"/>
          <w:szCs w:val="44"/>
        </w:rPr>
        <w:br w:type="page"/>
      </w:r>
    </w:p>
    <w:p>
      <w:pPr>
        <w:snapToGrid w:val="0"/>
        <w:spacing w:line="540" w:lineRule="exact"/>
        <w:rPr>
          <w:rFonts w:ascii="Times New Roman" w:hAnsi="Times New Roman" w:eastAsia="方正小标宋_GBK" w:cs="方正小标宋_GBK"/>
          <w:vanish/>
          <w:sz w:val="44"/>
          <w:szCs w:val="44"/>
        </w:rPr>
      </w:pPr>
    </w:p>
    <w:p>
      <w:pPr>
        <w:rPr>
          <w:rFonts w:ascii="方正仿宋_GBK" w:hAnsi="Calibri" w:eastAsia="方正仿宋_GBK" w:cs="Times New Roman"/>
          <w:b/>
          <w:bCs/>
          <w:vanish/>
          <w:sz w:val="32"/>
          <w:szCs w:val="3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rFonts w:ascii="Calibri" w:hAnsi="Calibri" w:eastAsia="宋体" w:cs="Times New Roman"/>
          <w:vanish/>
          <w:sz w:val="21"/>
          <w:szCs w:val="22"/>
        </w:rPr>
      </w:pPr>
    </w:p>
    <w:p>
      <w:pPr>
        <w:rPr>
          <w:vanish/>
        </w:rPr>
      </w:pPr>
    </w:p>
    <w:p>
      <w:pPr>
        <w:pStyle w:val="2"/>
        <w:rPr>
          <w:rFonts w:hint="eastAsia"/>
          <w:b/>
          <w:vanish/>
          <w:sz w:val="48"/>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方正黑体_GBK" w:hAnsi="方正黑体_GBK" w:eastAsia="方正黑体_GBK" w:cs="方正黑体_GBK"/>
          <w:vanish/>
          <w:kern w:val="0"/>
          <w:sz w:val="32"/>
          <w:szCs w:val="32"/>
          <w:shd w:val="clear" w:color="auto" w:fill="FFFFFF"/>
          <w:lang w:val="en-US" w:eastAsia="zh-CN" w:bidi="ar-SA"/>
        </w:rPr>
      </w:pPr>
    </w:p>
    <w:p>
      <w:pPr>
        <w:pStyle w:val="2"/>
        <w:rPr>
          <w:rFonts w:hint="eastAsia"/>
          <w:vanish/>
          <w:lang w:val="en-US" w:eastAsia="zh-CN"/>
        </w:rPr>
        <w:sectPr>
          <w:pgSz w:w="16838" w:h="23811"/>
          <w:pgMar w:top="1474" w:right="1848" w:bottom="1587" w:left="1962" w:header="851" w:footer="992" w:gutter="0"/>
          <w:pgNumType w:fmt="numberInDash"/>
          <w:cols w:space="0" w:num="1"/>
          <w:rtlGutter w:val="0"/>
          <w:docGrid w:type="lines" w:linePitch="328" w:charSpace="0"/>
        </w:sectPr>
      </w:pPr>
    </w:p>
    <w:p>
      <w:pPr>
        <w:rPr>
          <w:rFonts w:hint="eastAsia"/>
          <w:vanish/>
          <w:lang w:val="en-US" w:eastAsia="zh-CN"/>
        </w:rPr>
      </w:pPr>
    </w:p>
    <w:p>
      <w:pPr>
        <w:spacing w:line="600" w:lineRule="exact"/>
        <w:rPr>
          <w:rFonts w:hint="eastAsia" w:eastAsia="方正仿宋_GBK" w:cs="方正仿宋_GBK"/>
          <w:vanish/>
          <w:sz w:val="32"/>
          <w:szCs w:val="32"/>
          <w:lang w:bidi="ar"/>
        </w:rPr>
        <w:sectPr>
          <w:pgSz w:w="16838" w:h="23811"/>
          <w:pgMar w:top="1474" w:right="1848" w:bottom="1587" w:left="1962" w:header="851" w:footer="992" w:gutter="0"/>
          <w:pgBorders>
            <w:top w:val="none" w:sz="0" w:space="0"/>
            <w:left w:val="none" w:sz="0" w:space="0"/>
            <w:bottom w:val="none" w:sz="0" w:space="0"/>
            <w:right w:val="none" w:sz="0" w:space="0"/>
          </w:pgBorders>
          <w:pgNumType w:fmt="numberInDash"/>
          <w:cols w:space="0" w:num="1"/>
          <w:rtlGutter w:val="0"/>
          <w:docGrid w:type="lines" w:linePitch="328" w:charSpace="0"/>
        </w:sectPr>
      </w:pPr>
    </w:p>
    <w:p>
      <w:pPr>
        <w:rPr>
          <w:rFonts w:ascii="Times New Roman" w:hAnsi="Times New Roman" w:eastAsia="方正小标宋_GBK" w:cs="方正小标宋_GBK"/>
          <w:vanish/>
          <w:sz w:val="44"/>
          <w:szCs w:val="44"/>
        </w:rPr>
      </w:pPr>
    </w:p>
    <w:p>
      <w:pPr>
        <w:keepNext/>
        <w:keepLines/>
        <w:widowControl w:val="0"/>
        <w:spacing w:before="340" w:after="330" w:line="578" w:lineRule="auto"/>
        <w:jc w:val="both"/>
        <w:outlineLvl w:val="0"/>
        <w:rPr>
          <w:rFonts w:ascii="Times New Roman" w:hAnsi="Times New Roman" w:eastAsia="宋体" w:cs="Times New Roman"/>
          <w:b/>
          <w:bCs/>
          <w:vanish/>
          <w:kern w:val="44"/>
          <w:sz w:val="44"/>
          <w:szCs w:val="44"/>
          <w:lang w:val="en-US" w:eastAsia="zh-CN" w:bidi="ar-SA"/>
        </w:rPr>
      </w:pPr>
    </w:p>
    <w:p>
      <w:pPr>
        <w:rPr>
          <w:rFonts w:ascii="方正仿宋_GBK" w:hAnsi="Calibri" w:eastAsia="方正仿宋_GBK" w:cs="Times New Roman"/>
          <w:b/>
          <w:bCs/>
          <w:vanish/>
          <w:sz w:val="32"/>
          <w:szCs w:val="32"/>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widowControl w:val="0"/>
        <w:snapToGrid w:val="0"/>
        <w:spacing w:line="144" w:lineRule="auto"/>
        <w:jc w:val="center"/>
        <w:rPr>
          <w:rFonts w:ascii="Calibri" w:hAnsi="Calibri" w:eastAsia="方正仿宋_GBK" w:cs="方正仿宋_GBK"/>
          <w:vanish/>
          <w:kern w:val="2"/>
          <w:sz w:val="32"/>
          <w:szCs w:val="22"/>
          <w:lang w:val="zh-CN" w:eastAsia="zh-CN" w:bidi="ar-SA"/>
        </w:rPr>
      </w:pPr>
    </w:p>
    <w:p>
      <w:pPr>
        <w:keepNext/>
        <w:keepLines/>
        <w:widowControl w:val="0"/>
        <w:spacing w:before="340" w:after="330" w:line="578" w:lineRule="auto"/>
        <w:jc w:val="both"/>
        <w:outlineLvl w:val="0"/>
        <w:rPr>
          <w:rFonts w:ascii="Calibri" w:hAnsi="Calibri" w:eastAsia="方正仿宋_GBK" w:cs="方正仿宋_GBK"/>
          <w:b/>
          <w:bCs/>
          <w:vanish/>
          <w:kern w:val="2"/>
          <w:sz w:val="32"/>
          <w:szCs w:val="22"/>
          <w:lang w:val="zh-CN" w:eastAsia="zh-CN" w:bidi="ar-SA"/>
        </w:rPr>
      </w:pPr>
    </w:p>
    <w:p>
      <w:pPr>
        <w:rPr>
          <w:rFonts w:ascii="Times New Roman" w:hAnsi="Times New Roman" w:eastAsia="宋体" w:cs="Times New Roman"/>
          <w:vanish/>
          <w:lang w:val="zh-CN" w:eastAsia="zh-CN"/>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rPr>
          <w:rFonts w:ascii="Calibri" w:hAnsi="Calibri" w:eastAsia="宋体" w:cs="Times New Roman"/>
          <w:vanish/>
        </w:rPr>
      </w:pPr>
    </w:p>
    <w:p>
      <w:pPr>
        <w:jc w:val="right"/>
        <w:rPr>
          <w:rFonts w:ascii="Calibri" w:hAnsi="Calibri" w:eastAsia="宋体" w:cs="Times New Roman"/>
          <w:vanish/>
        </w:rPr>
      </w:pPr>
      <w:bookmarkStart w:id="0" w:name="公章"/>
      <w:bookmarkEnd w:id="0"/>
    </w:p>
    <w:p>
      <w:pPr>
        <w:pStyle w:val="2"/>
        <w:rPr>
          <w:rFonts w:hint="eastAsia"/>
          <w:vanish/>
          <w:lang w:val="en-US" w:eastAsia="zh-CN"/>
        </w:rPr>
        <w:sectPr>
          <w:pgSz w:w="16838" w:h="23811"/>
          <w:pgMar w:top="1474" w:right="1848" w:bottom="1587" w:left="1962" w:header="851" w:footer="992" w:gutter="0"/>
          <w:pgNumType w:fmt="numberInDash"/>
          <w:cols w:space="0" w:num="1"/>
          <w:rtlGutter w:val="0"/>
          <w:docGrid w:type="lines" w:linePitch="328" w:charSpace="0"/>
        </w:sectPr>
      </w:pPr>
    </w:p>
    <w:tbl>
      <w:tblPr>
        <w:tblStyle w:val="8"/>
        <w:tblW w:w="504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
        <w:gridCol w:w="919"/>
        <w:gridCol w:w="1235"/>
        <w:gridCol w:w="1934"/>
        <w:gridCol w:w="1575"/>
        <w:gridCol w:w="546"/>
        <w:gridCol w:w="1666"/>
        <w:gridCol w:w="570"/>
        <w:gridCol w:w="570"/>
        <w:gridCol w:w="570"/>
        <w:gridCol w:w="570"/>
        <w:gridCol w:w="547"/>
        <w:gridCol w:w="1629"/>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hidden/>
        </w:trPr>
        <w:tc>
          <w:tcPr>
            <w:tcW w:w="11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宋体"/>
                <w:i w:val="0"/>
                <w:iCs w:val="0"/>
                <w:vanish/>
                <w:color w:val="000000"/>
                <w:sz w:val="21"/>
                <w:szCs w:val="21"/>
                <w:u w:val="none"/>
                <w:lang w:val="en-US"/>
              </w:rPr>
            </w:pPr>
            <w:r>
              <w:rPr>
                <w:rFonts w:hint="eastAsia" w:ascii="Times New Roman" w:hAnsi="Times New Roman" w:eastAsia="宋体" w:cs="宋体"/>
                <w:i w:val="0"/>
                <w:iCs w:val="0"/>
                <w:vanish/>
                <w:color w:val="000000"/>
                <w:kern w:val="0"/>
                <w:sz w:val="21"/>
                <w:szCs w:val="21"/>
                <w:u w:val="none"/>
                <w:lang w:val="en-US" w:eastAsia="zh-CN" w:bidi="ar"/>
              </w:rPr>
              <w:t>33</w:t>
            </w:r>
          </w:p>
        </w:tc>
        <w:tc>
          <w:tcPr>
            <w:tcW w:w="34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16"/>
                <w:szCs w:val="16"/>
                <w:u w:val="none"/>
              </w:rPr>
            </w:pPr>
            <w:r>
              <w:rPr>
                <w:rFonts w:hint="eastAsia" w:ascii="Times New Roman" w:hAnsi="Times New Roman" w:eastAsia="宋体" w:cs="宋体"/>
                <w:i w:val="0"/>
                <w:iCs w:val="0"/>
                <w:vanish/>
                <w:color w:val="000000"/>
                <w:kern w:val="0"/>
                <w:sz w:val="16"/>
                <w:szCs w:val="16"/>
                <w:u w:val="none"/>
                <w:lang w:val="en-US" w:eastAsia="zh-CN" w:bidi="ar"/>
              </w:rPr>
              <w:t>013115000090000</w:t>
            </w:r>
          </w:p>
        </w:tc>
        <w:tc>
          <w:tcPr>
            <w:tcW w:w="4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精神科监护</w:t>
            </w:r>
          </w:p>
        </w:tc>
        <w:tc>
          <w:tcPr>
            <w:tcW w:w="7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为处于重性精神病急性发作期的患者提供严密监护服务。</w:t>
            </w:r>
          </w:p>
        </w:tc>
        <w:tc>
          <w:tcPr>
            <w:tcW w:w="58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所定价格涵盖对精神病患者进行生命体征、认知、情感、意志行为等方面的监护以及采取预防意外事件发生措施等步骤所需的人力资源、设备成本和基本物质资源消耗</w:t>
            </w:r>
          </w:p>
        </w:tc>
        <w:tc>
          <w:tcPr>
            <w:tcW w:w="20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小时</w:t>
            </w:r>
          </w:p>
        </w:tc>
        <w:tc>
          <w:tcPr>
            <w:tcW w:w="62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1.精神科监护不可与精神病人护理同时收取。 2.重性精神病急性发作期患者指出现急性、冲动、自杀、伤人、毁物及有外走、妄想、幻觉和木僵等症状的患者。</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6</w:t>
            </w:r>
          </w:p>
        </w:tc>
        <w:tc>
          <w:tcPr>
            <w:tcW w:w="20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甲类</w:t>
            </w:r>
          </w:p>
        </w:tc>
        <w:tc>
          <w:tcPr>
            <w:tcW w:w="608" w:type="pct"/>
            <w:tcBorders>
              <w:top w:val="single" w:color="000000" w:sz="4" w:space="0"/>
              <w:left w:val="single" w:color="000000" w:sz="4" w:space="0"/>
              <w:bottom w:val="single" w:color="000000" w:sz="4" w:space="0"/>
              <w:right w:val="single" w:color="000000" w:sz="4" w:space="0"/>
            </w:tcBorders>
            <w:noWrap w:val="0"/>
            <w:vAlign w:val="center"/>
          </w:tcPr>
          <w:p>
            <w:pPr>
              <w:rPr>
                <w:rFonts w:hint="eastAsia" w:ascii="Times New Roman" w:hAnsi="Times New Roman" w:eastAsia="宋体" w:cs="宋体"/>
                <w:i w:val="0"/>
                <w:iCs w:val="0"/>
                <w:vanish/>
                <w:color w:val="000000"/>
                <w:sz w:val="21"/>
                <w:szCs w:val="21"/>
                <w:u w:val="none"/>
              </w:rPr>
            </w:pPr>
          </w:p>
        </w:tc>
        <w:tc>
          <w:tcPr>
            <w:tcW w:w="2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宋体"/>
                <w:i w:val="0"/>
                <w:iCs w:val="0"/>
                <w:vanish/>
                <w:color w:val="000000"/>
                <w:sz w:val="21"/>
                <w:szCs w:val="21"/>
                <w:u w:val="none"/>
              </w:rPr>
            </w:pPr>
            <w:r>
              <w:rPr>
                <w:rFonts w:hint="eastAsia" w:ascii="Times New Roman" w:hAnsi="Times New Roman" w:eastAsia="宋体" w:cs="宋体"/>
                <w:i w:val="0"/>
                <w:iCs w:val="0"/>
                <w:vanish/>
                <w:color w:val="000000"/>
                <w:kern w:val="0"/>
                <w:sz w:val="21"/>
                <w:szCs w:val="21"/>
                <w:u w:val="none"/>
                <w:lang w:val="en-US" w:eastAsia="zh-CN" w:bidi="ar"/>
              </w:rPr>
              <w:t>治疗费</w:t>
            </w:r>
          </w:p>
        </w:tc>
      </w:tr>
    </w:tbl>
    <w:p>
      <w:pPr>
        <w:rPr>
          <w:vanish/>
        </w:rPr>
      </w:pPr>
    </w:p>
    <w:sectPr>
      <w:pgSz w:w="16838" w:h="23811"/>
      <w:pgMar w:top="1474" w:right="1848" w:bottom="1587" w:left="1962" w:header="851" w:footer="992" w:gutter="0"/>
      <w:pgNumType w:fmt="numberInDash"/>
      <w:cols w:space="0" w:num="1"/>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vXQbdjc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DFAdLMwwERKfenR&#10;Cu2+HfjsTXEGTWf6OfGWb2qUsmU+PDCHwUD5eDrhHkspDVKawaKkMu7Lv85jPPoFLyUNBi2nGu+K&#10;Evleo48ADKPhRmM/Gvqo7gwmF71BLZ2JCy7I0SydUZ/xnlYxB1xMc2TKaRjNu9APO94jF6tVF3S0&#10;rj5U/QVMoWVhq3eWxzRRKm9XxwBpO8WjQL0q6FTcYA67ng1vJg76n/su6vE/sfw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DvatC9UAAAAIAQAADwAAAAAAAAABACAAAAAiAAAAZHJzL2Rvd25yZXYu&#10;eG1sUEsBAhQAFAAAAAgAh07iQL10G3Y3AgAAbwQAAA4AAAAAAAAAAQAgAAAAJAEAAGRycy9lMm9E&#10;b2MueG1sUEsFBgAAAAAGAAYAWQEAAM0FA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U66U1AAAAAc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Lines="100"/>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-120015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45pt;height:144pt;width:144pt;mso-position-horizontal:outside;mso-position-horizontal-relative:margin;mso-wrap-style:none;z-index:251659264;mso-width-relative:page;mso-height-relative:page;" filled="f" stroked="f" coordsize="21600,21600" o:gfxdata="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72rQvVAAAACAEAAA8AAAAAAAAAAQAgAAAAIgAAAGRycy9kb3ducmV2&#10;LnhtbFBLAQIUABQAAAAIAIdO4kB7qTMlOAIAAG8EAAAOAAAAAAAAAAEAIAAAACQBAABkcnMvZTJv&#10;RG9jLnhtbFBLBQYAAAAABgAGAFkBAADOBQAAAAA=&#10;">
              <v:fill on="f" focussize="0,0"/>
              <v:stroke on="f" weight="0.5pt"/>
              <v:imagedata o:title=""/>
              <o:lock v:ext="edit" aspectratio="f"/>
              <v:textbox inset="0mm,0mm,0mm,0mm" style="mso-fit-shape-to-text:t;">
                <w:txbxContent>
                  <w:p>
                    <w:pPr>
                      <w:pStyle w:val="6"/>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ascii="宋体" w:hAnsi="宋体" w:cs="宋体"/>
        <w:b/>
        <w:bCs/>
        <w:color w:val="005192"/>
        <w:sz w:val="28"/>
        <w:szCs w:val="44"/>
        <w:lang w:val="en-US"/>
      </w:rPr>
      <mc:AlternateContent>
        <mc:Choice Requires="wps">
          <w:drawing>
            <wp:anchor distT="0" distB="0" distL="114300" distR="114300" simplePos="0" relativeHeight="251661312" behindDoc="0" locked="0" layoutInCell="1" allowOverlap="1">
              <wp:simplePos x="0" y="0"/>
              <wp:positionH relativeFrom="column">
                <wp:posOffset>15240</wp:posOffset>
              </wp:positionH>
              <wp:positionV relativeFrom="paragraph">
                <wp:posOffset>136525</wp:posOffset>
              </wp:positionV>
              <wp:extent cx="5616575" cy="1905"/>
              <wp:effectExtent l="0" t="10795" r="6985" b="17780"/>
              <wp:wrapNone/>
              <wp:docPr id="8" name="直接连接符 8"/>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1.2pt;margin-top:10.75pt;height:0.15pt;width:442.25pt;z-index:251661312;mso-width-relative:page;mso-height-relative:page;" filled="f" stroked="t" coordsize="21600,21600" o:gfxdata="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VT&#10;rpTUAAAABwEAAA8AAAAAAAAAAQAgAAAAIgAAAGRycy9kb3ducmV2LnhtbFBLAQIUABQAAAAIAIdO&#10;4kC9krD97gEAAMMDAAAOAAAAAAAAAAEAIAAAACMBAABkcnMvZTJvRG9jLnhtbFBLBQYAAAAABgAG&#10;AFkBAACDBQ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lang w:val="en-US"/>
      </w:rPr>
      <w:t>重庆市医疗保障局发布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LOJ&#10;ui7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spacing w:beforeLines="150"/>
      <w:jc w:val="left"/>
      <w:rPr>
        <w:rFonts w:hint="eastAsia" w:ascii="宋体" w:hAnsi="宋体" w:cs="宋体"/>
        <w:b/>
        <w:bCs/>
        <w:color w:val="005192"/>
        <w:sz w:val="32"/>
        <w:szCs w:val="32"/>
        <w:lang w:val="en-US"/>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675005</wp:posOffset>
              </wp:positionV>
              <wp:extent cx="562038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6pt;margin-top:53.15pt;height:0pt;width:442.55pt;z-index:251660288;mso-width-relative:page;mso-height-relative:page;" filled="f" stroked="t" coordsize="21600,21600" o:gfxdata="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6xMIdIA&#10;AAAJAQAADwAAAAAAAAABACAAAAAiAAAAZHJzL2Rvd25yZXYueG1sUEsBAhQAFAAAAAgAh07iQNQJ&#10;NzjsAQAAwAMAAA4AAAAAAAAAAQAgAAAAIQEAAGRycy9lMm9Eb2MueG1sUEsFBgAAAAAGAAYAWQEA&#10;AH8FA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32"/>
        <w:lang w:val="en-US"/>
      </w:rPr>
      <w:drawing>
        <wp:inline distT="0" distB="0" distL="114300" distR="114300">
          <wp:extent cx="308610" cy="308610"/>
          <wp:effectExtent l="0" t="0" r="11430" b="1143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rPr>
      <w:t>重庆市医疗保障局</w:t>
    </w:r>
    <w:r>
      <w:rPr>
        <w:rFonts w:hint="eastAsia" w:ascii="宋体" w:hAnsi="宋体" w:cs="宋体"/>
        <w:b/>
        <w:bCs/>
        <w:color w:val="005192"/>
        <w:sz w:val="32"/>
        <w:szCs w:val="32"/>
        <w:lang w:val="en-US"/>
      </w:rPr>
      <w:t>规范性文件</w:t>
    </w:r>
  </w:p>
  <w:p>
    <w:pPr>
      <w:pStyle w:val="7"/>
      <w:keepNext w:val="0"/>
      <w:keepLines w:val="0"/>
      <w:pageBreakBefore w:val="0"/>
      <w:widowControl w:val="0"/>
      <w:pBdr>
        <w:bottom w:val="none" w:color="auto" w:sz="0" w:space="0"/>
      </w:pBdr>
      <w:kinsoku/>
      <w:wordWrap/>
      <w:overflowPunct/>
      <w:topLinePunct w:val="0"/>
      <w:autoSpaceDE/>
      <w:autoSpaceDN/>
      <w:bidi w:val="0"/>
      <w:adjustRightInd/>
      <w:snapToGrid w:val="0"/>
      <w:jc w:val="left"/>
      <w:textAlignment w:val="auto"/>
      <w:rPr>
        <w:rFonts w:hint="eastAsia" w:ascii="宋体" w:hAnsi="宋体" w:cs="宋体"/>
        <w:b/>
        <w:bCs/>
        <w:color w:val="005192"/>
        <w:sz w:val="32"/>
        <w:szCs w:val="32"/>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126E26"/>
    <w:multiLevelType w:val="singleLevel"/>
    <w:tmpl w:val="FF126E26"/>
    <w:lvl w:ilvl="0" w:tentative="0">
      <w:start w:val="1"/>
      <w:numFmt w:val="decimal"/>
      <w:lvlText w:val="%1."/>
      <w:lvlJc w:val="left"/>
      <w:pPr>
        <w:tabs>
          <w:tab w:val="left" w:pos="312"/>
        </w:tabs>
      </w:pPr>
    </w:lvl>
  </w:abstractNum>
  <w:abstractNum w:abstractNumId="1">
    <w:nsid w:val="6CD579AE"/>
    <w:multiLevelType w:val="singleLevel"/>
    <w:tmpl w:val="6CD579AE"/>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64"/>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BD59F1"/>
    <w:rsid w:val="001B29FD"/>
    <w:rsid w:val="001E62AC"/>
    <w:rsid w:val="00256583"/>
    <w:rsid w:val="00287718"/>
    <w:rsid w:val="002958C0"/>
    <w:rsid w:val="00336BD7"/>
    <w:rsid w:val="004375A7"/>
    <w:rsid w:val="00465ED9"/>
    <w:rsid w:val="004F3710"/>
    <w:rsid w:val="006236DB"/>
    <w:rsid w:val="006251EB"/>
    <w:rsid w:val="00627C57"/>
    <w:rsid w:val="006761A9"/>
    <w:rsid w:val="006C28A5"/>
    <w:rsid w:val="006C716A"/>
    <w:rsid w:val="00800B09"/>
    <w:rsid w:val="008A1FBB"/>
    <w:rsid w:val="009569E5"/>
    <w:rsid w:val="00A8021B"/>
    <w:rsid w:val="00BB0F49"/>
    <w:rsid w:val="00BD59F1"/>
    <w:rsid w:val="00C02CA9"/>
    <w:rsid w:val="00C05E09"/>
    <w:rsid w:val="00D822F4"/>
    <w:rsid w:val="00E10AF5"/>
    <w:rsid w:val="00E95DD5"/>
    <w:rsid w:val="00E97256"/>
    <w:rsid w:val="00EC1B42"/>
    <w:rsid w:val="00F65B11"/>
    <w:rsid w:val="00F713B4"/>
    <w:rsid w:val="017161EE"/>
    <w:rsid w:val="033F47F4"/>
    <w:rsid w:val="0373439E"/>
    <w:rsid w:val="05E13F99"/>
    <w:rsid w:val="06107982"/>
    <w:rsid w:val="0679507C"/>
    <w:rsid w:val="069B5865"/>
    <w:rsid w:val="08FE7C34"/>
    <w:rsid w:val="09013BBB"/>
    <w:rsid w:val="09C724A7"/>
    <w:rsid w:val="0B195B80"/>
    <w:rsid w:val="0C410ADE"/>
    <w:rsid w:val="14DF4950"/>
    <w:rsid w:val="1538445B"/>
    <w:rsid w:val="16676D50"/>
    <w:rsid w:val="16D81DB6"/>
    <w:rsid w:val="174775C1"/>
    <w:rsid w:val="17842C12"/>
    <w:rsid w:val="19F26BB1"/>
    <w:rsid w:val="1A7754F8"/>
    <w:rsid w:val="1B0753E2"/>
    <w:rsid w:val="1C03787B"/>
    <w:rsid w:val="1F66431E"/>
    <w:rsid w:val="1F6B6086"/>
    <w:rsid w:val="1FF2314D"/>
    <w:rsid w:val="1FF648E3"/>
    <w:rsid w:val="20E3156C"/>
    <w:rsid w:val="216632C4"/>
    <w:rsid w:val="21827243"/>
    <w:rsid w:val="23C54B29"/>
    <w:rsid w:val="246F043F"/>
    <w:rsid w:val="250948EB"/>
    <w:rsid w:val="25B67322"/>
    <w:rsid w:val="261C1009"/>
    <w:rsid w:val="26FE3319"/>
    <w:rsid w:val="27851AC3"/>
    <w:rsid w:val="2B1D7252"/>
    <w:rsid w:val="2B372E74"/>
    <w:rsid w:val="2BC52E85"/>
    <w:rsid w:val="2C0679BF"/>
    <w:rsid w:val="2DEC6BE5"/>
    <w:rsid w:val="2E593E6B"/>
    <w:rsid w:val="2EA678A8"/>
    <w:rsid w:val="2FBD190A"/>
    <w:rsid w:val="303A34BB"/>
    <w:rsid w:val="310205E4"/>
    <w:rsid w:val="314372AE"/>
    <w:rsid w:val="31667E06"/>
    <w:rsid w:val="324E1D58"/>
    <w:rsid w:val="32DA5548"/>
    <w:rsid w:val="335B486B"/>
    <w:rsid w:val="339A1E12"/>
    <w:rsid w:val="33C36B74"/>
    <w:rsid w:val="34D04B6D"/>
    <w:rsid w:val="369E4EAA"/>
    <w:rsid w:val="37A73D38"/>
    <w:rsid w:val="3A0972FD"/>
    <w:rsid w:val="3A681A91"/>
    <w:rsid w:val="3B9F195E"/>
    <w:rsid w:val="3CC11305"/>
    <w:rsid w:val="3D5C620C"/>
    <w:rsid w:val="3E8C7CCF"/>
    <w:rsid w:val="40671451"/>
    <w:rsid w:val="40CB1594"/>
    <w:rsid w:val="41533E94"/>
    <w:rsid w:val="43350544"/>
    <w:rsid w:val="44897362"/>
    <w:rsid w:val="44BE37CF"/>
    <w:rsid w:val="45A537EA"/>
    <w:rsid w:val="464D005F"/>
    <w:rsid w:val="48572A95"/>
    <w:rsid w:val="4A280732"/>
    <w:rsid w:val="4A9A45D5"/>
    <w:rsid w:val="4A9F2515"/>
    <w:rsid w:val="4D3B4FB8"/>
    <w:rsid w:val="4E5F467B"/>
    <w:rsid w:val="52911C74"/>
    <w:rsid w:val="53AD1103"/>
    <w:rsid w:val="546D5C10"/>
    <w:rsid w:val="54E36229"/>
    <w:rsid w:val="554B02CC"/>
    <w:rsid w:val="556D5B9C"/>
    <w:rsid w:val="56581891"/>
    <w:rsid w:val="589B50B4"/>
    <w:rsid w:val="59312802"/>
    <w:rsid w:val="5BEE4C02"/>
    <w:rsid w:val="5F1B253F"/>
    <w:rsid w:val="5F78236B"/>
    <w:rsid w:val="602461BE"/>
    <w:rsid w:val="60E9359A"/>
    <w:rsid w:val="6314426C"/>
    <w:rsid w:val="631B4721"/>
    <w:rsid w:val="633529D8"/>
    <w:rsid w:val="63936688"/>
    <w:rsid w:val="63EA3203"/>
    <w:rsid w:val="66F22840"/>
    <w:rsid w:val="699A3F3C"/>
    <w:rsid w:val="6CF5407A"/>
    <w:rsid w:val="6FAC2205"/>
    <w:rsid w:val="712B1D95"/>
    <w:rsid w:val="75671C1B"/>
    <w:rsid w:val="77E91724"/>
    <w:rsid w:val="7874644F"/>
    <w:rsid w:val="791E0F5E"/>
    <w:rsid w:val="7B1A16F5"/>
    <w:rsid w:val="7CCA0390"/>
    <w:rsid w:val="7E933500"/>
    <w:rsid w:val="7FFF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100" w:beforeAutospacing="1" w:after="100" w:afterAutospacing="1"/>
      <w:outlineLvl w:val="0"/>
    </w:pPr>
    <w:rPr>
      <w:rFonts w:hint="eastAsia" w:ascii="宋体" w:hAnsi="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3"/>
    <w:semiHidden/>
    <w:unhideWhenUsed/>
    <w:qFormat/>
    <w:uiPriority w:val="99"/>
    <w:pPr>
      <w:jc w:val="center"/>
    </w:pPr>
    <w:rPr>
      <w:lang w:val="zh-CN"/>
    </w:r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alloon Text"/>
    <w:basedOn w:val="1"/>
    <w:link w:val="14"/>
    <w:semiHidden/>
    <w:unhideWhenUsed/>
    <w:qFormat/>
    <w:uiPriority w:val="99"/>
    <w:rPr>
      <w:sz w:val="18"/>
      <w:szCs w:val="18"/>
    </w:rPr>
  </w:style>
  <w:style w:type="paragraph" w:styleId="6">
    <w:name w:val="footer"/>
    <w:basedOn w:val="1"/>
    <w:link w:val="11"/>
    <w:semiHidden/>
    <w:unhideWhenUsed/>
    <w:qFormat/>
    <w:uiPriority w:val="99"/>
    <w:pPr>
      <w:tabs>
        <w:tab w:val="center" w:pos="4153"/>
        <w:tab w:val="right" w:pos="8306"/>
      </w:tabs>
      <w:snapToGrid w:val="0"/>
      <w:jc w:val="left"/>
    </w:pPr>
    <w:rPr>
      <w:kern w:val="0"/>
      <w:sz w:val="18"/>
      <w:szCs w:val="18"/>
      <w:lang w:val="zh-CN"/>
    </w:rPr>
  </w:style>
  <w:style w:type="paragraph" w:styleId="7">
    <w:name w:val="header"/>
    <w:basedOn w:val="1"/>
    <w:link w:val="10"/>
    <w:semiHidden/>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正文文本 Char"/>
    <w:semiHidden/>
    <w:qFormat/>
    <w:uiPriority w:val="99"/>
    <w:rPr>
      <w:kern w:val="2"/>
      <w:sz w:val="21"/>
      <w:szCs w:val="22"/>
    </w:rPr>
  </w:style>
  <w:style w:type="character" w:customStyle="1" w:styleId="13">
    <w:name w:val="正文文本 Char1"/>
    <w:link w:val="3"/>
    <w:qFormat/>
    <w:uiPriority w:val="0"/>
    <w:rPr>
      <w:rFonts w:ascii="Times New Roman" w:hAnsi="Times New Roman" w:eastAsia="仿宋_GB2312"/>
      <w:b/>
      <w:color w:val="FF0000"/>
      <w:kern w:val="2"/>
      <w:sz w:val="44"/>
      <w:szCs w:val="32"/>
      <w:lang w:val="zh-CN" w:eastAsia="zh-CN"/>
    </w:rPr>
  </w:style>
  <w:style w:type="character" w:customStyle="1" w:styleId="14">
    <w:name w:val="批注框文本 Char"/>
    <w:basedOn w:val="9"/>
    <w:link w:val="5"/>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Users</Company>
  <Pages>1</Pages>
  <Words>146</Words>
  <Characters>835</Characters>
  <Lines>6</Lines>
  <Paragraphs>1</Paragraphs>
  <TotalTime>1</TotalTime>
  <ScaleCrop>false</ScaleCrop>
  <LinksUpToDate>false</LinksUpToDate>
  <CharactersWithSpaces>980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2021-12-02T08:42:00Z</dcterms:created>
  <dc:creator>赖茜</dc:creator>
  <cp:lastModifiedBy>胡娟</cp:lastModifiedBy>
  <cp:lastPrinted>2023-03-10T07:08:00Z</cp:lastPrinted>
  <dcterms:modified xsi:type="dcterms:W3CDTF">2026-08-07T02:49:20Z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197D47044B994C1BAA118268D205EEED</vt:lpwstr>
  </property>
</Properties>
</file>