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eastAsia="方正小标宋_GBK"/>
          <w:sz w:val="40"/>
          <w:szCs w:val="40"/>
        </w:rPr>
      </w:pPr>
    </w:p>
    <w:p>
      <w:pPr>
        <w:spacing w:line="540" w:lineRule="exact"/>
        <w:jc w:val="center"/>
        <w:rPr>
          <w:rFonts w:eastAsia="方正小标宋_GBK"/>
          <w:sz w:val="40"/>
          <w:szCs w:val="40"/>
        </w:rPr>
      </w:pPr>
    </w:p>
    <w:p>
      <w:pPr>
        <w:spacing w:line="540" w:lineRule="exact"/>
        <w:jc w:val="center"/>
        <w:rPr>
          <w:rFonts w:eastAsia="方正小标宋_GBK"/>
          <w:w w:val="40"/>
          <w:sz w:val="40"/>
          <w:szCs w:val="40"/>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lang w:eastAsia="zh-CN"/>
        </w:rPr>
      </w:pPr>
    </w:p>
    <w:p>
      <w:pPr>
        <w:spacing w:line="560" w:lineRule="exact"/>
        <w:jc w:val="left"/>
        <w:rPr>
          <w:rFonts w:hint="eastAsia"/>
        </w:rPr>
      </w:pPr>
      <w:r>
        <w:rPr>
          <w:rFonts w:hint="eastAsia" w:ascii="Times New Roman" w:hAnsi="Times New Roman" w:eastAsia="方正仿宋_GBK" w:cs="方正仿宋_GBK"/>
          <w:sz w:val="32"/>
          <w:szCs w:val="32"/>
        </w:rPr>
        <w:t xml:space="preserve">   </w:t>
      </w:r>
    </w:p>
    <w:p>
      <w:pPr>
        <w:keepNext w:val="0"/>
        <w:keepLines w:val="0"/>
        <w:pageBreakBefore w:val="0"/>
        <w:widowControl/>
        <w:kinsoku/>
        <w:wordWrap/>
        <w:overflowPunct/>
        <w:topLinePunct w:val="0"/>
        <w:autoSpaceDE/>
        <w:autoSpaceDN/>
        <w:bidi w:val="0"/>
        <w:adjustRightInd w:val="0"/>
        <w:snapToGrid w:val="0"/>
        <w:spacing w:line="600" w:lineRule="exact"/>
        <w:ind w:firstLine="0" w:firstLineChars="0"/>
        <w:jc w:val="center"/>
        <w:textAlignment w:val="auto"/>
        <w:rPr>
          <w:rFonts w:ascii="Times New Roman" w:hAnsi="Times New Roman" w:eastAsia="方正小标宋_GBK" w:cs="Times New Roman"/>
          <w:snapToGrid w:val="0"/>
          <w:sz w:val="42"/>
          <w:szCs w:val="42"/>
          <w:shd w:val="clear" w:color="auto" w:fill="FFFFFF"/>
        </w:rPr>
      </w:pPr>
      <w:r>
        <w:rPr>
          <w:rFonts w:ascii="Times New Roman" w:hAnsi="Times New Roman" w:eastAsia="方正小标宋_GBK" w:cs="Times New Roman"/>
          <w:snapToGrid w:val="0"/>
          <w:sz w:val="42"/>
          <w:szCs w:val="42"/>
          <w:shd w:val="clear" w:color="auto" w:fill="FFFFFF"/>
        </w:rPr>
        <w:t>重庆市医疗保障局关于</w:t>
      </w:r>
    </w:p>
    <w:p>
      <w:pPr>
        <w:keepNext w:val="0"/>
        <w:keepLines w:val="0"/>
        <w:pageBreakBefore w:val="0"/>
        <w:widowControl/>
        <w:kinsoku/>
        <w:wordWrap/>
        <w:overflowPunct/>
        <w:topLinePunct w:val="0"/>
        <w:autoSpaceDE/>
        <w:autoSpaceDN/>
        <w:bidi w:val="0"/>
        <w:adjustRightInd w:val="0"/>
        <w:snapToGrid w:val="0"/>
        <w:spacing w:line="600" w:lineRule="exact"/>
        <w:ind w:firstLine="0" w:firstLineChars="0"/>
        <w:jc w:val="center"/>
        <w:textAlignment w:val="auto"/>
        <w:rPr>
          <w:rFonts w:ascii="Times New Roman" w:hAnsi="Times New Roman" w:eastAsia="方正小标宋_GBK" w:cs="Times New Roman"/>
          <w:snapToGrid w:val="0"/>
          <w:sz w:val="42"/>
          <w:szCs w:val="42"/>
          <w:shd w:val="clear" w:color="auto" w:fill="FFFFFF"/>
        </w:rPr>
      </w:pPr>
      <w:r>
        <w:rPr>
          <w:rFonts w:hint="eastAsia" w:ascii="Times New Roman" w:hAnsi="Times New Roman" w:eastAsia="方正小标宋_GBK" w:cs="Times New Roman"/>
          <w:snapToGrid w:val="0"/>
          <w:sz w:val="42"/>
          <w:szCs w:val="42"/>
          <w:shd w:val="clear" w:color="auto" w:fill="FFFFFF"/>
          <w:lang w:eastAsia="zh-CN"/>
        </w:rPr>
        <w:t>规范药学类</w:t>
      </w:r>
      <w:r>
        <w:rPr>
          <w:rFonts w:ascii="Times New Roman" w:hAnsi="Times New Roman" w:eastAsia="方正小标宋_GBK" w:cs="Times New Roman"/>
          <w:snapToGrid w:val="0"/>
          <w:sz w:val="42"/>
          <w:szCs w:val="42"/>
          <w:shd w:val="clear" w:color="auto" w:fill="FFFFFF"/>
        </w:rPr>
        <w:t>医疗服务价格项目</w:t>
      </w:r>
      <w:r>
        <w:rPr>
          <w:rFonts w:hint="eastAsia" w:ascii="Times New Roman" w:hAnsi="Times New Roman" w:eastAsia="方正小标宋_GBK" w:cs="Times New Roman"/>
          <w:snapToGrid w:val="0"/>
          <w:sz w:val="42"/>
          <w:szCs w:val="42"/>
          <w:shd w:val="clear" w:color="auto" w:fill="FFFFFF"/>
        </w:rPr>
        <w:t>及医保支付政策</w:t>
      </w:r>
      <w:r>
        <w:rPr>
          <w:rFonts w:ascii="Times New Roman" w:hAnsi="Times New Roman" w:eastAsia="方正小标宋_GBK" w:cs="Times New Roman"/>
          <w:snapToGrid w:val="0"/>
          <w:sz w:val="42"/>
          <w:szCs w:val="42"/>
          <w:shd w:val="clear" w:color="auto" w:fill="FFFFFF"/>
        </w:rPr>
        <w:t>的通</w:t>
      </w:r>
      <w:r>
        <w:rPr>
          <w:rFonts w:hint="default" w:ascii="Times New Roman" w:hAnsi="Times New Roman" w:eastAsia="方正小标宋_GBK" w:cs="Times New Roman"/>
          <w:snapToGrid w:val="0"/>
          <w:sz w:val="42"/>
          <w:szCs w:val="42"/>
          <w:shd w:val="clear" w:color="auto" w:fill="FFFFFF"/>
          <w:lang w:val="en-US"/>
        </w:rPr>
        <w:t xml:space="preserve">  </w:t>
      </w:r>
      <w:r>
        <w:rPr>
          <w:rFonts w:ascii="Times New Roman" w:hAnsi="Times New Roman" w:eastAsia="方正小标宋_GBK" w:cs="Times New Roman"/>
          <w:snapToGrid w:val="0"/>
          <w:sz w:val="42"/>
          <w:szCs w:val="42"/>
          <w:shd w:val="clear" w:color="auto" w:fill="FFFFFF"/>
        </w:rPr>
        <w:t>知</w:t>
      </w:r>
    </w:p>
    <w:p>
      <w:pPr>
        <w:keepNext w:val="0"/>
        <w:keepLines w:val="0"/>
        <w:pageBreakBefore w:val="0"/>
        <w:widowControl/>
        <w:kinsoku/>
        <w:wordWrap/>
        <w:overflowPunct/>
        <w:topLinePunct w:val="0"/>
        <w:autoSpaceDE/>
        <w:autoSpaceDN/>
        <w:bidi w:val="0"/>
        <w:adjustRightInd w:val="0"/>
        <w:snapToGrid w:val="0"/>
        <w:spacing w:line="600" w:lineRule="exact"/>
        <w:ind w:firstLine="0" w:firstLineChars="0"/>
        <w:jc w:val="center"/>
        <w:textAlignment w:val="auto"/>
        <w:rPr>
          <w:rFonts w:ascii="Times New Roman" w:hAnsi="Times New Roman" w:eastAsia="方正仿宋_GBK" w:cs="Times New Roman"/>
          <w:snapToGrid w:val="0"/>
          <w:kern w:val="0"/>
          <w:sz w:val="32"/>
          <w:szCs w:val="32"/>
          <w:shd w:val="clear" w:color="auto" w:fill="FFFFFF"/>
          <w:lang w:bidi="ar"/>
        </w:rPr>
      </w:pPr>
      <w:bookmarkStart w:id="1" w:name="_GoBack"/>
      <w:r>
        <w:rPr>
          <w:rFonts w:hint="eastAsia" w:ascii="Calibri" w:hAnsi="Calibri" w:eastAsia="方正仿宋_GBK" w:cs="方正仿宋_GBK"/>
          <w:sz w:val="32"/>
          <w:szCs w:val="32"/>
        </w:rPr>
        <w:t>渝医保发〔</w:t>
      </w:r>
      <w:r>
        <w:rPr>
          <w:rFonts w:ascii="Times New Roman" w:hAnsi="Times New Roman" w:eastAsia="方正仿宋_GBK" w:cs="Times New Roman"/>
          <w:sz w:val="32"/>
          <w:szCs w:val="32"/>
        </w:rPr>
        <w:t>2026</w:t>
      </w:r>
      <w:r>
        <w:rPr>
          <w:rFonts w:hint="eastAsia" w:ascii="Calibri" w:hAnsi="Calibri" w:eastAsia="方正仿宋_GBK" w:cs="方正仿宋_GBK"/>
          <w:sz w:val="32"/>
          <w:szCs w:val="32"/>
        </w:rPr>
        <w:t>〕</w:t>
      </w:r>
      <w:r>
        <w:rPr>
          <w:rFonts w:ascii="Times New Roman" w:hAnsi="Times New Roman" w:eastAsia="方正仿宋_GBK" w:cs="Times New Roman"/>
          <w:sz w:val="32"/>
          <w:szCs w:val="32"/>
        </w:rPr>
        <w:t>18</w:t>
      </w:r>
      <w:r>
        <w:rPr>
          <w:rFonts w:hint="eastAsia" w:ascii="Calibri" w:hAnsi="Calibri" w:eastAsia="方正仿宋_GBK" w:cs="方正仿宋_GBK"/>
          <w:sz w:val="32"/>
          <w:szCs w:val="32"/>
        </w:rPr>
        <w:t>号</w:t>
      </w:r>
    </w:p>
    <w:bookmarkEnd w:id="1"/>
    <w:p>
      <w:pPr>
        <w:keepNext w:val="0"/>
        <w:keepLines w:val="0"/>
        <w:pageBreakBefore w:val="0"/>
        <w:widowControl/>
        <w:kinsoku/>
        <w:wordWrap/>
        <w:overflowPunct/>
        <w:topLinePunct w:val="0"/>
        <w:autoSpaceDE/>
        <w:autoSpaceDN/>
        <w:bidi w:val="0"/>
        <w:adjustRightInd w:val="0"/>
        <w:snapToGrid w:val="0"/>
        <w:spacing w:line="600" w:lineRule="exact"/>
        <w:ind w:firstLine="0" w:firstLineChars="0"/>
        <w:jc w:val="both"/>
        <w:textAlignment w:val="auto"/>
        <w:rPr>
          <w:rFonts w:ascii="Times New Roman" w:hAnsi="Times New Roman" w:eastAsia="方正仿宋_GBK" w:cs="Times New Roman"/>
          <w:snapToGrid w:val="0"/>
          <w:kern w:val="0"/>
          <w:sz w:val="32"/>
          <w:szCs w:val="32"/>
          <w:shd w:val="clear" w:color="auto" w:fill="FFFFFF"/>
          <w:lang w:bidi="ar"/>
        </w:rPr>
      </w:pPr>
    </w:p>
    <w:p>
      <w:pPr>
        <w:keepNext w:val="0"/>
        <w:keepLines w:val="0"/>
        <w:pageBreakBefore w:val="0"/>
        <w:widowControl/>
        <w:kinsoku/>
        <w:wordWrap/>
        <w:overflowPunct/>
        <w:topLinePunct w:val="0"/>
        <w:autoSpaceDE/>
        <w:autoSpaceDN/>
        <w:bidi w:val="0"/>
        <w:adjustRightInd w:val="0"/>
        <w:snapToGrid w:val="0"/>
        <w:spacing w:line="600" w:lineRule="exact"/>
        <w:ind w:firstLine="0" w:firstLineChars="0"/>
        <w:jc w:val="both"/>
        <w:textAlignment w:val="auto"/>
        <w:rPr>
          <w:rFonts w:ascii="Times New Roman" w:hAnsi="Times New Roman" w:eastAsia="方正仿宋_GBK" w:cs="Times New Roman"/>
          <w:snapToGrid w:val="0"/>
          <w:sz w:val="32"/>
          <w:szCs w:val="32"/>
        </w:rPr>
      </w:pPr>
      <w:r>
        <w:rPr>
          <w:rFonts w:ascii="Times New Roman" w:hAnsi="Times New Roman" w:eastAsia="方正仿宋_GBK" w:cs="Times New Roman"/>
          <w:snapToGrid w:val="0"/>
          <w:kern w:val="0"/>
          <w:sz w:val="32"/>
          <w:szCs w:val="32"/>
          <w:shd w:val="clear" w:color="auto" w:fill="FFFFFF"/>
          <w:lang w:bidi="ar"/>
        </w:rPr>
        <w:t>各区县（自治县）医保局，高新区政务服务和社会事务中心、万盛经开区人力社保局，各公立医疗机构</w:t>
      </w:r>
      <w:r>
        <w:rPr>
          <w:rFonts w:hint="eastAsia" w:ascii="Times New Roman" w:hAnsi="Times New Roman" w:eastAsia="方正仿宋_GBK" w:cs="Times New Roman"/>
          <w:snapToGrid w:val="0"/>
          <w:kern w:val="0"/>
          <w:sz w:val="32"/>
          <w:szCs w:val="32"/>
          <w:shd w:val="clear" w:color="auto" w:fill="FFFFFF"/>
          <w:lang w:eastAsia="zh-CN" w:bidi="ar"/>
        </w:rPr>
        <w:t>、</w:t>
      </w:r>
      <w:r>
        <w:rPr>
          <w:rFonts w:ascii="Times New Roman" w:hAnsi="Times New Roman" w:eastAsia="方正仿宋_GBK" w:cs="Times New Roman"/>
          <w:snapToGrid w:val="0"/>
          <w:kern w:val="0"/>
          <w:sz w:val="32"/>
          <w:szCs w:val="32"/>
          <w:shd w:val="clear" w:color="auto" w:fill="FFFFFF"/>
          <w:lang w:bidi="ar"/>
        </w:rPr>
        <w:t>有关单位：</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ascii="Times New Roman" w:hAnsi="Times New Roman" w:eastAsia="方正仿宋_GBK" w:cs="Times New Roman"/>
          <w:snapToGrid w:val="0"/>
          <w:kern w:val="0"/>
          <w:sz w:val="32"/>
          <w:szCs w:val="32"/>
          <w:shd w:val="clear" w:color="auto" w:fill="FFFFFF"/>
          <w:lang w:bidi="ar"/>
        </w:rPr>
      </w:pPr>
      <w:r>
        <w:rPr>
          <w:rFonts w:ascii="Times New Roman" w:hAnsi="Times New Roman" w:eastAsia="方正仿宋_GBK" w:cs="Times New Roman"/>
          <w:snapToGrid w:val="0"/>
          <w:kern w:val="0"/>
          <w:sz w:val="32"/>
          <w:szCs w:val="32"/>
          <w:shd w:val="clear" w:color="auto" w:fill="FFFFFF"/>
          <w:lang w:bidi="ar"/>
        </w:rPr>
        <w:t>为贯彻落实国家医疗保障局等8部门《关于印发〈深化医疗服务价格改革试点方案〉的通知》（医保发〔2021〕41号）精神，构建内涵边界清晰、适应临床诊疗、便于评价监管的价格项目体系，根据《</w:t>
      </w:r>
      <w:r>
        <w:rPr>
          <w:rFonts w:hint="eastAsia" w:ascii="Times New Roman" w:hAnsi="Times New Roman" w:eastAsia="方正仿宋_GBK" w:cs="Times New Roman"/>
          <w:snapToGrid w:val="0"/>
          <w:kern w:val="0"/>
          <w:sz w:val="32"/>
          <w:szCs w:val="32"/>
          <w:shd w:val="clear" w:color="auto" w:fill="FFFFFF"/>
          <w:lang w:eastAsia="zh-CN" w:bidi="ar"/>
        </w:rPr>
        <w:t>药学类</w:t>
      </w:r>
      <w:r>
        <w:rPr>
          <w:rFonts w:ascii="Times New Roman" w:hAnsi="Times New Roman" w:eastAsia="方正仿宋_GBK" w:cs="Times New Roman"/>
          <w:snapToGrid w:val="0"/>
          <w:kern w:val="0"/>
          <w:sz w:val="32"/>
          <w:szCs w:val="32"/>
          <w:shd w:val="clear" w:color="auto" w:fill="FFFFFF"/>
          <w:lang w:bidi="ar"/>
        </w:rPr>
        <w:t>价格项目立项指南（试行）》精神，经研究，决定规范我市</w:t>
      </w:r>
      <w:r>
        <w:rPr>
          <w:rFonts w:hint="eastAsia" w:ascii="Times New Roman" w:hAnsi="Times New Roman" w:eastAsia="方正仿宋_GBK" w:cs="Times New Roman"/>
          <w:snapToGrid w:val="0"/>
          <w:kern w:val="0"/>
          <w:sz w:val="32"/>
          <w:szCs w:val="32"/>
          <w:shd w:val="clear" w:color="auto" w:fill="FFFFFF"/>
          <w:lang w:eastAsia="zh-CN" w:bidi="ar"/>
        </w:rPr>
        <w:t>药学类</w:t>
      </w:r>
      <w:r>
        <w:rPr>
          <w:rFonts w:ascii="Times New Roman" w:hAnsi="Times New Roman" w:eastAsia="方正仿宋_GBK" w:cs="Times New Roman"/>
          <w:snapToGrid w:val="0"/>
          <w:kern w:val="0"/>
          <w:sz w:val="32"/>
          <w:szCs w:val="32"/>
          <w:shd w:val="clear" w:color="auto" w:fill="FFFFFF"/>
          <w:lang w:bidi="ar"/>
        </w:rPr>
        <w:t>医疗服务价格项目并将部分</w:t>
      </w:r>
      <w:r>
        <w:rPr>
          <w:rFonts w:hint="eastAsia" w:ascii="Times New Roman" w:hAnsi="Times New Roman" w:eastAsia="方正仿宋_GBK" w:cs="Times New Roman"/>
          <w:snapToGrid w:val="0"/>
          <w:kern w:val="0"/>
          <w:sz w:val="32"/>
          <w:szCs w:val="32"/>
          <w:shd w:val="clear" w:color="auto" w:fill="FFFFFF"/>
          <w:lang w:eastAsia="zh-CN" w:bidi="ar"/>
        </w:rPr>
        <w:t>药学类</w:t>
      </w:r>
      <w:r>
        <w:rPr>
          <w:rFonts w:ascii="Times New Roman" w:hAnsi="Times New Roman" w:eastAsia="方正仿宋_GBK" w:cs="Times New Roman"/>
          <w:snapToGrid w:val="0"/>
          <w:kern w:val="0"/>
          <w:sz w:val="32"/>
          <w:szCs w:val="32"/>
          <w:shd w:val="clear" w:color="auto" w:fill="FFFFFF"/>
          <w:lang w:bidi="ar"/>
        </w:rPr>
        <w:t>医疗服务项目纳入基本医疗保险基金支付范围，现就有关事项通知如下。</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ascii="Times New Roman" w:hAnsi="Times New Roman" w:eastAsia="方正黑体_GBK" w:cs="Times New Roman"/>
          <w:snapToGrid w:val="0"/>
          <w:kern w:val="0"/>
          <w:sz w:val="32"/>
          <w:szCs w:val="32"/>
          <w:shd w:val="clear" w:color="auto" w:fill="FFFFFF"/>
          <w:lang w:bidi="ar"/>
        </w:rPr>
      </w:pPr>
      <w:r>
        <w:rPr>
          <w:rFonts w:ascii="Times New Roman" w:hAnsi="Times New Roman" w:eastAsia="方正黑体_GBK" w:cs="Times New Roman"/>
          <w:snapToGrid w:val="0"/>
          <w:kern w:val="0"/>
          <w:sz w:val="32"/>
          <w:szCs w:val="32"/>
          <w:shd w:val="clear" w:color="auto" w:fill="FFFFFF"/>
          <w:lang w:bidi="ar"/>
        </w:rPr>
        <w:t>一、规范医疗服务价格项目</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ascii="Times New Roman" w:hAnsi="Times New Roman" w:eastAsia="方正仿宋_GBK" w:cs="Times New Roman"/>
          <w:snapToGrid w:val="0"/>
          <w:kern w:val="0"/>
          <w:sz w:val="32"/>
          <w:szCs w:val="32"/>
          <w:shd w:val="clear" w:color="auto" w:fill="FFFFFF"/>
          <w:lang w:bidi="ar"/>
        </w:rPr>
      </w:pPr>
      <w:r>
        <w:rPr>
          <w:rFonts w:hint="eastAsia" w:ascii="Times New Roman" w:hAnsi="Times New Roman" w:eastAsia="方正仿宋_GBK" w:cs="Times New Roman"/>
          <w:snapToGrid w:val="0"/>
          <w:kern w:val="0"/>
          <w:sz w:val="32"/>
          <w:szCs w:val="32"/>
          <w:shd w:val="clear" w:color="auto" w:fill="FFFFFF"/>
          <w:lang w:bidi="ar"/>
        </w:rPr>
        <w:t>（一）规范整合我市</w:t>
      </w:r>
      <w:r>
        <w:rPr>
          <w:rFonts w:hint="eastAsia" w:ascii="Times New Roman" w:hAnsi="Times New Roman" w:eastAsia="方正仿宋_GBK" w:cs="Times New Roman"/>
          <w:snapToGrid w:val="0"/>
          <w:kern w:val="0"/>
          <w:sz w:val="32"/>
          <w:szCs w:val="32"/>
          <w:shd w:val="clear" w:color="auto" w:fill="FFFFFF"/>
          <w:lang w:eastAsia="zh-CN" w:bidi="ar"/>
        </w:rPr>
        <w:t>药学类</w:t>
      </w:r>
      <w:r>
        <w:rPr>
          <w:rFonts w:hint="eastAsia" w:ascii="Times New Roman" w:hAnsi="Times New Roman" w:eastAsia="方正仿宋_GBK" w:cs="Times New Roman"/>
          <w:snapToGrid w:val="0"/>
          <w:kern w:val="0"/>
          <w:sz w:val="32"/>
          <w:szCs w:val="32"/>
          <w:shd w:val="clear" w:color="auto" w:fill="FFFFFF"/>
          <w:lang w:bidi="ar"/>
        </w:rPr>
        <w:t>医疗服务价格项目，规范后</w:t>
      </w:r>
      <w:r>
        <w:rPr>
          <w:rFonts w:hint="eastAsia" w:ascii="Times New Roman" w:hAnsi="Times New Roman" w:eastAsia="方正仿宋_GBK" w:cs="Times New Roman"/>
          <w:snapToGrid w:val="0"/>
          <w:kern w:val="0"/>
          <w:sz w:val="32"/>
          <w:szCs w:val="32"/>
          <w:shd w:val="clear" w:color="auto" w:fill="FFFFFF"/>
          <w:lang w:eastAsia="zh-CN" w:bidi="ar"/>
        </w:rPr>
        <w:t>药学类</w:t>
      </w:r>
      <w:r>
        <w:rPr>
          <w:rFonts w:ascii="Times New Roman" w:hAnsi="Times New Roman" w:eastAsia="方正仿宋_GBK" w:cs="Times New Roman"/>
          <w:snapToGrid w:val="0"/>
          <w:kern w:val="0"/>
          <w:sz w:val="32"/>
          <w:szCs w:val="32"/>
          <w:shd w:val="clear" w:color="auto" w:fill="FFFFFF"/>
          <w:lang w:bidi="ar"/>
        </w:rPr>
        <w:t>医疗服务价格项目</w:t>
      </w:r>
      <w:r>
        <w:rPr>
          <w:rFonts w:hint="eastAsia" w:ascii="Times New Roman" w:hAnsi="Times New Roman" w:eastAsia="方正仿宋_GBK" w:cs="Times New Roman"/>
          <w:snapToGrid w:val="0"/>
          <w:kern w:val="0"/>
          <w:sz w:val="32"/>
          <w:szCs w:val="32"/>
          <w:shd w:val="clear" w:color="auto" w:fill="FFFFFF"/>
          <w:lang w:val="en-US" w:eastAsia="zh-CN" w:bidi="ar"/>
        </w:rPr>
        <w:t>12</w:t>
      </w:r>
      <w:r>
        <w:rPr>
          <w:rFonts w:ascii="Times New Roman" w:hAnsi="Times New Roman" w:eastAsia="方正仿宋_GBK" w:cs="Times New Roman"/>
          <w:snapToGrid w:val="0"/>
          <w:kern w:val="0"/>
          <w:sz w:val="32"/>
          <w:szCs w:val="32"/>
          <w:shd w:val="clear" w:color="auto" w:fill="FFFFFF"/>
          <w:lang w:bidi="ar"/>
        </w:rPr>
        <w:t>项</w:t>
      </w:r>
      <w:r>
        <w:rPr>
          <w:rFonts w:hint="eastAsia" w:ascii="Times New Roman" w:hAnsi="Times New Roman" w:eastAsia="方正仿宋_GBK" w:cs="Times New Roman"/>
          <w:snapToGrid w:val="0"/>
          <w:kern w:val="0"/>
          <w:sz w:val="32"/>
          <w:szCs w:val="32"/>
          <w:shd w:val="clear" w:color="auto" w:fill="FFFFFF"/>
          <w:lang w:eastAsia="zh-CN" w:bidi="ar"/>
        </w:rPr>
        <w:t>（</w:t>
      </w:r>
      <w:r>
        <w:rPr>
          <w:rFonts w:hint="eastAsia" w:ascii="Times New Roman" w:hAnsi="Times New Roman" w:eastAsia="方正仿宋_GBK" w:cs="Times New Roman"/>
          <w:snapToGrid w:val="0"/>
          <w:kern w:val="0"/>
          <w:sz w:val="32"/>
          <w:szCs w:val="32"/>
          <w:shd w:val="clear" w:color="auto" w:fill="FFFFFF"/>
          <w:lang w:bidi="ar"/>
        </w:rPr>
        <w:t>详见附件1</w:t>
      </w:r>
      <w:r>
        <w:rPr>
          <w:rFonts w:hint="eastAsia" w:ascii="Times New Roman" w:hAnsi="Times New Roman" w:eastAsia="方正仿宋_GBK" w:cs="Times New Roman"/>
          <w:snapToGrid w:val="0"/>
          <w:kern w:val="0"/>
          <w:sz w:val="32"/>
          <w:szCs w:val="32"/>
          <w:shd w:val="clear" w:color="auto" w:fill="FFFFFF"/>
          <w:lang w:eastAsia="zh-CN" w:bidi="ar"/>
        </w:rPr>
        <w:t>）</w:t>
      </w:r>
      <w:r>
        <w:rPr>
          <w:rFonts w:hint="eastAsia" w:ascii="Times New Roman" w:hAnsi="Times New Roman" w:eastAsia="方正仿宋_GBK" w:cs="Times New Roman"/>
          <w:snapToGrid w:val="0"/>
          <w:kern w:val="0"/>
          <w:sz w:val="32"/>
          <w:szCs w:val="32"/>
          <w:shd w:val="clear" w:color="auto" w:fill="FFFFFF"/>
          <w:lang w:bidi="ar"/>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ascii="Times New Roman" w:hAnsi="Times New Roman" w:eastAsia="方正仿宋_GBK" w:cs="Times New Roman"/>
          <w:snapToGrid w:val="0"/>
          <w:kern w:val="0"/>
          <w:sz w:val="32"/>
          <w:szCs w:val="32"/>
          <w:shd w:val="clear" w:color="auto" w:fill="FFFFFF"/>
          <w:lang w:bidi="ar"/>
        </w:rPr>
      </w:pPr>
      <w:r>
        <w:rPr>
          <w:rFonts w:hint="eastAsia" w:ascii="Times New Roman" w:hAnsi="Times New Roman" w:eastAsia="方正仿宋_GBK" w:cs="Times New Roman"/>
          <w:snapToGrid w:val="0"/>
          <w:kern w:val="0"/>
          <w:sz w:val="32"/>
          <w:szCs w:val="32"/>
          <w:shd w:val="clear" w:color="auto" w:fill="FFFFFF"/>
          <w:lang w:bidi="ar"/>
        </w:rPr>
        <w:t>（二）</w:t>
      </w:r>
      <w:r>
        <w:rPr>
          <w:rFonts w:ascii="Times New Roman" w:hAnsi="Times New Roman" w:eastAsia="方正仿宋_GBK" w:cs="Times New Roman"/>
          <w:snapToGrid w:val="0"/>
          <w:kern w:val="0"/>
          <w:sz w:val="32"/>
          <w:szCs w:val="32"/>
          <w:shd w:val="clear" w:color="auto" w:fill="FFFFFF"/>
          <w:lang w:bidi="ar"/>
        </w:rPr>
        <w:t>停用</w:t>
      </w:r>
      <w:r>
        <w:rPr>
          <w:rFonts w:hint="eastAsia" w:ascii="Times New Roman" w:hAnsi="Times New Roman" w:eastAsia="方正仿宋_GBK" w:cs="Times New Roman"/>
          <w:snapToGrid w:val="0"/>
          <w:kern w:val="0"/>
          <w:sz w:val="32"/>
          <w:szCs w:val="32"/>
          <w:shd w:val="clear" w:color="auto" w:fill="FFFFFF"/>
          <w:lang w:eastAsia="zh-CN" w:bidi="ar"/>
        </w:rPr>
        <w:t>血清药物浓度测定</w:t>
      </w:r>
      <w:r>
        <w:rPr>
          <w:rFonts w:hint="eastAsia" w:ascii="Times New Roman" w:hAnsi="Times New Roman" w:eastAsia="方正仿宋_GBK" w:cs="Times New Roman"/>
          <w:snapToGrid w:val="0"/>
          <w:kern w:val="0"/>
          <w:sz w:val="32"/>
          <w:szCs w:val="32"/>
          <w:shd w:val="clear" w:color="auto" w:fill="FFFFFF"/>
          <w:lang w:bidi="ar"/>
        </w:rPr>
        <w:t>等</w:t>
      </w:r>
      <w:r>
        <w:rPr>
          <w:rFonts w:ascii="Times New Roman" w:hAnsi="Times New Roman" w:eastAsia="方正仿宋_GBK" w:cs="Times New Roman"/>
          <w:snapToGrid w:val="0"/>
          <w:kern w:val="0"/>
          <w:sz w:val="32"/>
          <w:szCs w:val="32"/>
          <w:shd w:val="clear" w:color="auto" w:fill="FFFFFF"/>
          <w:lang w:bidi="ar"/>
        </w:rPr>
        <w:t>原</w:t>
      </w:r>
      <w:r>
        <w:rPr>
          <w:rFonts w:hint="eastAsia" w:ascii="Times New Roman" w:hAnsi="Times New Roman" w:eastAsia="方正仿宋_GBK" w:cs="Times New Roman"/>
          <w:snapToGrid w:val="0"/>
          <w:kern w:val="0"/>
          <w:sz w:val="32"/>
          <w:szCs w:val="32"/>
          <w:shd w:val="clear" w:color="auto" w:fill="FFFFFF"/>
          <w:lang w:eastAsia="zh-CN" w:bidi="ar"/>
        </w:rPr>
        <w:t>药学类</w:t>
      </w:r>
      <w:r>
        <w:rPr>
          <w:rFonts w:hint="eastAsia" w:ascii="Times New Roman" w:hAnsi="Times New Roman" w:eastAsia="方正仿宋_GBK" w:cs="Times New Roman"/>
          <w:snapToGrid w:val="0"/>
          <w:kern w:val="0"/>
          <w:sz w:val="32"/>
          <w:szCs w:val="32"/>
          <w:shd w:val="clear" w:color="auto" w:fill="FFFFFF"/>
          <w:lang w:bidi="ar"/>
        </w:rPr>
        <w:t>相关医疗服务</w:t>
      </w:r>
      <w:r>
        <w:rPr>
          <w:rFonts w:ascii="Times New Roman" w:hAnsi="Times New Roman" w:eastAsia="方正仿宋_GBK" w:cs="Times New Roman"/>
          <w:snapToGrid w:val="0"/>
          <w:kern w:val="0"/>
          <w:sz w:val="32"/>
          <w:szCs w:val="32"/>
          <w:shd w:val="clear" w:color="auto" w:fill="FFFFFF"/>
          <w:lang w:bidi="ar"/>
        </w:rPr>
        <w:t>价格项目</w:t>
      </w:r>
      <w:r>
        <w:rPr>
          <w:rFonts w:hint="eastAsia" w:ascii="Times New Roman" w:hAnsi="Times New Roman" w:eastAsia="方正仿宋_GBK" w:cs="Times New Roman"/>
          <w:snapToGrid w:val="0"/>
          <w:kern w:val="0"/>
          <w:sz w:val="32"/>
          <w:szCs w:val="32"/>
          <w:shd w:val="clear" w:color="auto" w:fill="FFFFFF"/>
          <w:lang w:bidi="ar"/>
        </w:rPr>
        <w:t>（详见附件2）。</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ascii="Times New Roman" w:hAnsi="Times New Roman" w:eastAsia="方正黑体_GBK" w:cs="Times New Roman"/>
          <w:snapToGrid w:val="0"/>
          <w:kern w:val="0"/>
          <w:sz w:val="32"/>
          <w:szCs w:val="32"/>
          <w:shd w:val="clear" w:color="auto" w:fill="FFFFFF"/>
          <w:lang w:bidi="ar"/>
        </w:rPr>
      </w:pPr>
      <w:r>
        <w:rPr>
          <w:rFonts w:ascii="Times New Roman" w:hAnsi="Times New Roman" w:eastAsia="方正黑体_GBK" w:cs="Times New Roman"/>
          <w:snapToGrid w:val="0"/>
          <w:kern w:val="0"/>
          <w:sz w:val="32"/>
          <w:szCs w:val="32"/>
          <w:shd w:val="clear" w:color="auto" w:fill="FFFFFF"/>
          <w:lang w:bidi="ar"/>
        </w:rPr>
        <w:t>二、明确医保支付政策</w:t>
      </w:r>
    </w:p>
    <w:p>
      <w:pPr>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Times New Roman" w:hAnsi="Times New Roman" w:eastAsia="方正仿宋_GBK" w:cs="Times New Roman"/>
          <w:snapToGrid w:val="0"/>
          <w:kern w:val="0"/>
          <w:sz w:val="32"/>
          <w:szCs w:val="32"/>
          <w:shd w:val="clear" w:color="auto" w:fill="FFFFFF"/>
          <w:lang w:val="en-US" w:eastAsia="zh-CN" w:bidi="ar"/>
        </w:rPr>
      </w:pPr>
      <w:r>
        <w:rPr>
          <w:rFonts w:hint="eastAsia" w:ascii="Times New Roman" w:hAnsi="Times New Roman" w:eastAsia="方正仿宋_GBK" w:cs="Times New Roman"/>
          <w:snapToGrid w:val="0"/>
          <w:kern w:val="0"/>
          <w:sz w:val="32"/>
          <w:szCs w:val="32"/>
          <w:shd w:val="clear" w:color="auto" w:fill="FFFFFF"/>
          <w:lang w:val="en-US" w:eastAsia="zh-CN" w:bidi="ar-SA"/>
        </w:rPr>
        <w:t>综合考虑临床需要、基金支付能力和价格等因素，兼顾医保政策延续性，</w:t>
      </w:r>
      <w:r>
        <w:rPr>
          <w:rFonts w:ascii="Times New Roman" w:hAnsi="Times New Roman" w:eastAsia="方正仿宋_GBK" w:cs="Times New Roman"/>
          <w:snapToGrid w:val="0"/>
          <w:kern w:val="0"/>
          <w:sz w:val="32"/>
          <w:szCs w:val="32"/>
          <w:shd w:val="clear" w:color="auto" w:fill="FFFFFF"/>
          <w:lang w:val="en-US" w:eastAsia="zh-CN" w:bidi="ar-SA"/>
        </w:rPr>
        <w:t>明确</w:t>
      </w:r>
      <w:r>
        <w:rPr>
          <w:rFonts w:hint="eastAsia" w:ascii="Times New Roman" w:hAnsi="Times New Roman" w:eastAsia="方正仿宋_GBK" w:cs="Times New Roman"/>
          <w:snapToGrid w:val="0"/>
          <w:kern w:val="0"/>
          <w:sz w:val="32"/>
          <w:szCs w:val="32"/>
          <w:shd w:val="clear" w:color="auto" w:fill="FFFFFF"/>
          <w:lang w:eastAsia="zh-CN" w:bidi="ar"/>
        </w:rPr>
        <w:t>药学</w:t>
      </w:r>
      <w:r>
        <w:rPr>
          <w:rFonts w:hint="eastAsia" w:ascii="Times New Roman" w:hAnsi="Times New Roman" w:eastAsia="方正仿宋_GBK" w:cs="Times New Roman"/>
          <w:snapToGrid w:val="0"/>
          <w:kern w:val="0"/>
          <w:sz w:val="32"/>
          <w:szCs w:val="32"/>
          <w:shd w:val="clear" w:color="auto" w:fill="FFFFFF"/>
          <w:lang w:val="en-US" w:eastAsia="zh-CN" w:bidi="ar"/>
        </w:rPr>
        <w:t>类</w:t>
      </w:r>
      <w:r>
        <w:rPr>
          <w:rFonts w:ascii="Times New Roman" w:hAnsi="Times New Roman" w:eastAsia="方正仿宋_GBK" w:cs="Times New Roman"/>
          <w:snapToGrid w:val="0"/>
          <w:kern w:val="0"/>
          <w:sz w:val="32"/>
          <w:szCs w:val="32"/>
          <w:shd w:val="clear" w:color="auto" w:fill="FFFFFF"/>
          <w:lang w:val="en-US" w:eastAsia="zh-CN" w:bidi="ar"/>
        </w:rPr>
        <w:t>医疗服务价格项目</w:t>
      </w:r>
      <w:r>
        <w:rPr>
          <w:rFonts w:ascii="Times New Roman" w:hAnsi="Times New Roman" w:eastAsia="方正仿宋_GBK" w:cs="Times New Roman"/>
          <w:snapToGrid w:val="0"/>
          <w:kern w:val="0"/>
          <w:sz w:val="32"/>
          <w:szCs w:val="32"/>
          <w:shd w:val="clear" w:color="auto" w:fill="FFFFFF"/>
          <w:lang w:val="en-US" w:eastAsia="zh-CN" w:bidi="ar-SA"/>
        </w:rPr>
        <w:t>医保支付类别</w:t>
      </w:r>
      <w:r>
        <w:rPr>
          <w:rFonts w:hint="eastAsia" w:ascii="Times New Roman" w:hAnsi="Times New Roman" w:eastAsia="方正仿宋_GBK" w:cs="Times New Roman"/>
          <w:snapToGrid w:val="0"/>
          <w:kern w:val="0"/>
          <w:sz w:val="32"/>
          <w:szCs w:val="32"/>
          <w:shd w:val="clear" w:color="auto" w:fill="FFFFFF"/>
          <w:lang w:val="en-US" w:eastAsia="zh-CN" w:bidi="ar-SA"/>
        </w:rPr>
        <w:t>（详见附件1）。</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ascii="Times New Roman" w:hAnsi="Times New Roman" w:eastAsia="方正黑体_GBK" w:cs="Times New Roman"/>
          <w:snapToGrid w:val="0"/>
          <w:kern w:val="0"/>
          <w:sz w:val="32"/>
          <w:szCs w:val="32"/>
          <w:shd w:val="clear" w:color="auto" w:fill="FFFFFF"/>
          <w:lang w:bidi="ar"/>
        </w:rPr>
      </w:pPr>
      <w:r>
        <w:rPr>
          <w:rFonts w:ascii="Times New Roman" w:hAnsi="Times New Roman" w:eastAsia="方正黑体_GBK" w:cs="Times New Roman"/>
          <w:snapToGrid w:val="0"/>
          <w:kern w:val="0"/>
          <w:sz w:val="32"/>
          <w:szCs w:val="32"/>
          <w:shd w:val="clear" w:color="auto" w:fill="FFFFFF"/>
          <w:lang w:bidi="ar"/>
        </w:rPr>
        <w:t>三、有关要求</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ascii="Times New Roman" w:hAnsi="Times New Roman" w:eastAsia="方正仿宋_GBK" w:cs="Times New Roman"/>
          <w:snapToGrid w:val="0"/>
          <w:kern w:val="0"/>
          <w:sz w:val="32"/>
          <w:szCs w:val="32"/>
          <w:shd w:val="clear" w:color="auto" w:fill="FFFFFF"/>
          <w:lang w:bidi="ar"/>
        </w:rPr>
      </w:pPr>
      <w:r>
        <w:rPr>
          <w:rFonts w:ascii="Times New Roman" w:hAnsi="Times New Roman" w:eastAsia="方正仿宋_GBK" w:cs="Times New Roman"/>
          <w:snapToGrid w:val="0"/>
          <w:kern w:val="0"/>
          <w:sz w:val="32"/>
          <w:szCs w:val="32"/>
          <w:shd w:val="clear" w:color="auto" w:fill="FFFFFF"/>
          <w:lang w:bidi="ar"/>
        </w:rPr>
        <w:t>（一）各公立医疗机构应按时做好医疗服务价格项目的相关调整工作，规范诊疗行为，不得扩大收费范围，凡在项目中包含的服务内容及耗材不得单独收费。要严格按规定执行明码标价和医疗费用明细清单制度，通过电子显示屏等多种方式向患者公示医疗服务价格，做好患者沟通解释工作，自觉接受社会监督。</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ascii="Times New Roman" w:hAnsi="Times New Roman" w:eastAsia="方正仿宋_GBK" w:cs="Times New Roman"/>
          <w:snapToGrid w:val="0"/>
          <w:kern w:val="0"/>
          <w:sz w:val="32"/>
          <w:szCs w:val="32"/>
          <w:shd w:val="clear" w:color="auto" w:fill="FFFFFF"/>
          <w:lang w:bidi="ar"/>
        </w:rPr>
      </w:pPr>
      <w:r>
        <w:rPr>
          <w:rFonts w:ascii="Times New Roman" w:hAnsi="Times New Roman" w:eastAsia="方正仿宋_GBK" w:cs="Times New Roman"/>
          <w:snapToGrid w:val="0"/>
          <w:kern w:val="0"/>
          <w:sz w:val="32"/>
          <w:szCs w:val="32"/>
          <w:shd w:val="clear" w:color="auto" w:fill="FFFFFF"/>
          <w:lang w:bidi="ar"/>
        </w:rPr>
        <w:t>（二）各区县医保部门要督促辖区内公立医疗机构执行规范后的医疗服务价格项目，做好宣传解释工作，加强调研和现场检查核查，确保政策执行不走样。遇有重大问题及时向市医保局反馈。</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黑体_GBK" w:cs="Times New Roman"/>
          <w:snapToGrid w:val="0"/>
          <w:kern w:val="0"/>
          <w:sz w:val="32"/>
          <w:szCs w:val="32"/>
          <w:shd w:val="clear" w:color="auto" w:fill="FFFFFF"/>
          <w:lang w:eastAsia="zh-CN" w:bidi="ar"/>
        </w:rPr>
      </w:pPr>
      <w:r>
        <w:rPr>
          <w:rFonts w:hint="eastAsia" w:ascii="Times New Roman" w:hAnsi="Times New Roman" w:eastAsia="方正仿宋_GBK" w:cs="Times New Roman"/>
          <w:snapToGrid w:val="0"/>
          <w:kern w:val="0"/>
          <w:sz w:val="32"/>
          <w:szCs w:val="32"/>
          <w:shd w:val="clear" w:color="auto" w:fill="FFFFFF"/>
          <w:lang w:eastAsia="zh-CN" w:bidi="ar"/>
        </w:rPr>
        <w:t>（三）按照《国务院办公厅关于健全药品价格形成机制的若干意见》（国办发〔</w:t>
      </w:r>
      <w:r>
        <w:rPr>
          <w:rFonts w:hint="eastAsia" w:ascii="Times New Roman" w:hAnsi="Times New Roman" w:eastAsia="方正仿宋_GBK" w:cs="Times New Roman"/>
          <w:snapToGrid w:val="0"/>
          <w:kern w:val="0"/>
          <w:sz w:val="32"/>
          <w:szCs w:val="32"/>
          <w:shd w:val="clear" w:color="auto" w:fill="FFFFFF"/>
          <w:lang w:val="en-US" w:eastAsia="zh-CN" w:bidi="ar"/>
        </w:rPr>
        <w:t>2026</w:t>
      </w:r>
      <w:r>
        <w:rPr>
          <w:rFonts w:hint="eastAsia" w:ascii="Times New Roman" w:hAnsi="Times New Roman" w:eastAsia="方正仿宋_GBK" w:cs="Times New Roman"/>
          <w:snapToGrid w:val="0"/>
          <w:kern w:val="0"/>
          <w:sz w:val="32"/>
          <w:szCs w:val="32"/>
          <w:shd w:val="clear" w:color="auto" w:fill="FFFFFF"/>
          <w:lang w:eastAsia="zh-CN" w:bidi="ar"/>
        </w:rPr>
        <w:t>〕</w:t>
      </w:r>
      <w:r>
        <w:rPr>
          <w:rFonts w:hint="eastAsia" w:ascii="Times New Roman" w:hAnsi="Times New Roman" w:eastAsia="方正仿宋_GBK" w:cs="Times New Roman"/>
          <w:snapToGrid w:val="0"/>
          <w:kern w:val="0"/>
          <w:sz w:val="32"/>
          <w:szCs w:val="32"/>
          <w:shd w:val="clear" w:color="auto" w:fill="FFFFFF"/>
          <w:lang w:val="en-US" w:eastAsia="zh-CN" w:bidi="ar"/>
        </w:rPr>
        <w:t>9号</w:t>
      </w:r>
      <w:r>
        <w:rPr>
          <w:rFonts w:hint="eastAsia" w:ascii="Times New Roman" w:hAnsi="Times New Roman" w:eastAsia="方正仿宋_GBK" w:cs="Times New Roman"/>
          <w:snapToGrid w:val="0"/>
          <w:kern w:val="0"/>
          <w:sz w:val="32"/>
          <w:szCs w:val="32"/>
          <w:shd w:val="clear" w:color="auto" w:fill="FFFFFF"/>
          <w:lang w:eastAsia="zh-CN" w:bidi="ar"/>
        </w:rPr>
        <w:t>）“完</w:t>
      </w:r>
      <w:r>
        <w:rPr>
          <w:rFonts w:hint="eastAsia" w:ascii="Times New Roman" w:hAnsi="Times New Roman" w:eastAsia="方正仿宋_GBK" w:cs="Times New Roman"/>
          <w:snapToGrid w:val="0"/>
          <w:kern w:val="0"/>
          <w:sz w:val="32"/>
          <w:szCs w:val="32"/>
          <w:lang w:eastAsia="zh-CN"/>
        </w:rPr>
        <w:t>善药学类医疗服务价格政策、实行中药配方颗粒零差率政策”要求，自执行药学类医疗服务价格项目起，公立医疗机构按“零差率”销售中药配方颗粒。</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ascii="Times New Roman" w:hAnsi="Times New Roman" w:eastAsia="方正黑体_GBK" w:cs="Times New Roman"/>
          <w:snapToGrid w:val="0"/>
          <w:kern w:val="0"/>
          <w:sz w:val="32"/>
          <w:szCs w:val="32"/>
          <w:shd w:val="clear" w:color="auto" w:fill="FFFFFF"/>
          <w:lang w:bidi="ar"/>
        </w:rPr>
      </w:pPr>
      <w:r>
        <w:rPr>
          <w:rFonts w:ascii="Times New Roman" w:hAnsi="Times New Roman" w:eastAsia="方正黑体_GBK" w:cs="Times New Roman"/>
          <w:snapToGrid w:val="0"/>
          <w:kern w:val="0"/>
          <w:sz w:val="32"/>
          <w:szCs w:val="32"/>
          <w:shd w:val="clear" w:color="auto" w:fill="FFFFFF"/>
          <w:lang w:bidi="ar"/>
        </w:rPr>
        <w:t>四、本通知自2026年</w:t>
      </w:r>
      <w:r>
        <w:rPr>
          <w:rFonts w:hint="eastAsia" w:ascii="Times New Roman" w:hAnsi="Times New Roman" w:eastAsia="方正黑体_GBK" w:cs="Times New Roman"/>
          <w:snapToGrid w:val="0"/>
          <w:kern w:val="0"/>
          <w:sz w:val="32"/>
          <w:szCs w:val="32"/>
          <w:shd w:val="clear" w:color="auto" w:fill="FFFFFF"/>
          <w:lang w:val="en-US" w:eastAsia="zh-CN" w:bidi="ar"/>
        </w:rPr>
        <w:t>9</w:t>
      </w:r>
      <w:r>
        <w:rPr>
          <w:rFonts w:ascii="Times New Roman" w:hAnsi="Times New Roman" w:eastAsia="方正黑体_GBK" w:cs="Times New Roman"/>
          <w:snapToGrid w:val="0"/>
          <w:kern w:val="0"/>
          <w:sz w:val="32"/>
          <w:szCs w:val="32"/>
          <w:shd w:val="clear" w:color="auto" w:fill="FFFFFF"/>
          <w:lang w:bidi="ar"/>
        </w:rPr>
        <w:t>月</w:t>
      </w:r>
      <w:r>
        <w:rPr>
          <w:rFonts w:hint="eastAsia" w:ascii="Times New Roman" w:hAnsi="Times New Roman" w:eastAsia="方正黑体_GBK" w:cs="Times New Roman"/>
          <w:snapToGrid w:val="0"/>
          <w:kern w:val="0"/>
          <w:sz w:val="32"/>
          <w:szCs w:val="32"/>
          <w:shd w:val="clear" w:color="auto" w:fill="FFFFFF"/>
          <w:lang w:val="en-US" w:eastAsia="zh-CN" w:bidi="ar"/>
        </w:rPr>
        <w:t>10</w:t>
      </w:r>
      <w:r>
        <w:rPr>
          <w:rFonts w:ascii="Times New Roman" w:hAnsi="Times New Roman" w:eastAsia="方正黑体_GBK" w:cs="Times New Roman"/>
          <w:snapToGrid w:val="0"/>
          <w:kern w:val="0"/>
          <w:sz w:val="32"/>
          <w:szCs w:val="32"/>
          <w:shd w:val="clear" w:color="auto" w:fill="FFFFFF"/>
          <w:lang w:bidi="ar"/>
        </w:rPr>
        <w:t>日起执行</w:t>
      </w:r>
      <w:r>
        <w:rPr>
          <w:rFonts w:hint="eastAsia" w:ascii="Times New Roman" w:hAnsi="Times New Roman" w:eastAsia="方正黑体_GBK" w:cs="Times New Roman"/>
          <w:snapToGrid w:val="0"/>
          <w:kern w:val="0"/>
          <w:sz w:val="32"/>
          <w:szCs w:val="32"/>
          <w:shd w:val="clear" w:color="auto" w:fill="FFFFFF"/>
          <w:lang w:bidi="ar"/>
        </w:rPr>
        <w:t>。</w:t>
      </w:r>
      <w:r>
        <w:rPr>
          <w:rFonts w:ascii="Times New Roman" w:hAnsi="Times New Roman" w:eastAsia="方正黑体_GBK" w:cs="Times New Roman"/>
          <w:snapToGrid w:val="0"/>
          <w:kern w:val="0"/>
          <w:sz w:val="32"/>
          <w:szCs w:val="32"/>
          <w:shd w:val="clear" w:color="auto" w:fill="FFFFFF"/>
          <w:lang w:bidi="ar"/>
        </w:rPr>
        <w:t>原政策文件与本通知不符的，以本通知为准。</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ascii="Times New Roman" w:hAnsi="Times New Roman" w:eastAsia="方正仿宋_GBK" w:cs="Times New Roman"/>
          <w:snapToGrid w:val="0"/>
          <w:kern w:val="0"/>
          <w:sz w:val="32"/>
          <w:szCs w:val="32"/>
          <w:shd w:val="clear" w:color="auto" w:fill="FFFFFF"/>
          <w:lang w:bidi="ar"/>
        </w:rPr>
      </w:pP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ascii="Times New Roman" w:hAnsi="Times New Roman" w:eastAsia="方正仿宋_GBK" w:cs="Times New Roman"/>
          <w:snapToGrid w:val="0"/>
          <w:kern w:val="0"/>
          <w:sz w:val="32"/>
          <w:szCs w:val="32"/>
          <w:shd w:val="clear" w:color="auto" w:fill="FFFFFF"/>
          <w:lang w:bidi="ar"/>
        </w:rPr>
      </w:pPr>
      <w:r>
        <w:rPr>
          <w:rFonts w:ascii="Times New Roman" w:hAnsi="Times New Roman" w:eastAsia="方正仿宋_GBK" w:cs="Times New Roman"/>
          <w:snapToGrid w:val="0"/>
          <w:kern w:val="0"/>
          <w:sz w:val="32"/>
          <w:szCs w:val="32"/>
          <w:shd w:val="clear" w:color="auto" w:fill="FFFFFF"/>
          <w:lang w:bidi="ar"/>
        </w:rPr>
        <w:t>附件：1</w:t>
      </w:r>
      <w:r>
        <w:rPr>
          <w:rFonts w:hint="eastAsia" w:ascii="Times New Roman" w:hAnsi="Times New Roman" w:eastAsia="方正仿宋_GBK" w:cs="Times New Roman"/>
          <w:snapToGrid w:val="0"/>
          <w:kern w:val="0"/>
          <w:sz w:val="32"/>
          <w:szCs w:val="32"/>
          <w:shd w:val="clear" w:color="auto" w:fill="FFFFFF"/>
          <w:lang w:eastAsia="zh-CN" w:bidi="ar"/>
        </w:rPr>
        <w:t>．药学类</w:t>
      </w:r>
      <w:r>
        <w:rPr>
          <w:rFonts w:ascii="Times New Roman" w:hAnsi="Times New Roman" w:eastAsia="方正仿宋_GBK" w:cs="Times New Roman"/>
          <w:snapToGrid w:val="0"/>
          <w:kern w:val="0"/>
          <w:sz w:val="32"/>
          <w:szCs w:val="32"/>
          <w:shd w:val="clear" w:color="auto" w:fill="FFFFFF"/>
          <w:lang w:bidi="ar"/>
        </w:rPr>
        <w:t>医疗服务价格项目表</w:t>
      </w:r>
    </w:p>
    <w:p>
      <w:pPr>
        <w:keepNext w:val="0"/>
        <w:keepLines w:val="0"/>
        <w:pageBreakBefore w:val="0"/>
        <w:widowControl/>
        <w:kinsoku/>
        <w:wordWrap/>
        <w:overflowPunct/>
        <w:topLinePunct w:val="0"/>
        <w:autoSpaceDE/>
        <w:autoSpaceDN/>
        <w:bidi w:val="0"/>
        <w:adjustRightInd w:val="0"/>
        <w:snapToGrid w:val="0"/>
        <w:spacing w:line="600" w:lineRule="exact"/>
        <w:ind w:firstLine="1600" w:firstLineChars="500"/>
        <w:jc w:val="both"/>
        <w:textAlignment w:val="auto"/>
        <w:rPr>
          <w:rFonts w:ascii="Times New Roman" w:hAnsi="Times New Roman" w:eastAsia="方正仿宋_GBK" w:cs="Times New Roman"/>
          <w:snapToGrid w:val="0"/>
          <w:kern w:val="0"/>
          <w:sz w:val="32"/>
          <w:szCs w:val="32"/>
          <w:shd w:val="clear" w:color="auto" w:fill="FFFFFF"/>
          <w:lang w:bidi="ar"/>
        </w:rPr>
      </w:pPr>
      <w:r>
        <w:rPr>
          <w:rFonts w:ascii="Times New Roman" w:hAnsi="Times New Roman" w:eastAsia="方正仿宋_GBK" w:cs="Times New Roman"/>
          <w:snapToGrid w:val="0"/>
          <w:kern w:val="0"/>
          <w:sz w:val="32"/>
          <w:szCs w:val="32"/>
          <w:shd w:val="clear" w:color="auto" w:fill="FFFFFF"/>
          <w:lang w:bidi="ar"/>
        </w:rPr>
        <w:t>2</w:t>
      </w:r>
      <w:r>
        <w:rPr>
          <w:rFonts w:hint="eastAsia" w:ascii="Times New Roman" w:hAnsi="Times New Roman" w:eastAsia="方正仿宋_GBK" w:cs="Times New Roman"/>
          <w:snapToGrid w:val="0"/>
          <w:kern w:val="0"/>
          <w:sz w:val="32"/>
          <w:szCs w:val="32"/>
          <w:shd w:val="clear" w:color="auto" w:fill="FFFFFF"/>
          <w:lang w:eastAsia="zh-CN" w:bidi="ar"/>
        </w:rPr>
        <w:t>．</w:t>
      </w:r>
      <w:r>
        <w:rPr>
          <w:rFonts w:hint="eastAsia" w:ascii="Times New Roman" w:hAnsi="Times New Roman" w:eastAsia="方正仿宋_GBK" w:cs="Times New Roman"/>
          <w:snapToGrid w:val="0"/>
          <w:kern w:val="0"/>
          <w:sz w:val="32"/>
          <w:szCs w:val="32"/>
          <w:shd w:val="clear" w:color="auto" w:fill="FFFFFF"/>
          <w:lang w:bidi="ar"/>
        </w:rPr>
        <w:t>停用</w:t>
      </w:r>
      <w:r>
        <w:rPr>
          <w:rFonts w:hint="eastAsia" w:ascii="Times New Roman" w:hAnsi="Times New Roman" w:eastAsia="方正仿宋_GBK" w:cs="Times New Roman"/>
          <w:snapToGrid w:val="0"/>
          <w:kern w:val="0"/>
          <w:sz w:val="32"/>
          <w:szCs w:val="32"/>
          <w:shd w:val="clear" w:color="auto" w:fill="FFFFFF"/>
          <w:lang w:eastAsia="zh-CN" w:bidi="ar"/>
        </w:rPr>
        <w:t>血清药物浓度测定</w:t>
      </w:r>
      <w:r>
        <w:rPr>
          <w:rFonts w:hint="eastAsia" w:ascii="Times New Roman" w:hAnsi="Times New Roman" w:eastAsia="方正仿宋_GBK" w:cs="Times New Roman"/>
          <w:snapToGrid w:val="0"/>
          <w:kern w:val="0"/>
          <w:sz w:val="32"/>
          <w:szCs w:val="32"/>
          <w:shd w:val="clear" w:color="auto" w:fill="FFFFFF"/>
          <w:lang w:bidi="ar"/>
        </w:rPr>
        <w:t>等</w:t>
      </w:r>
      <w:r>
        <w:rPr>
          <w:rFonts w:ascii="Times New Roman" w:hAnsi="Times New Roman" w:eastAsia="方正仿宋_GBK" w:cs="Times New Roman"/>
          <w:snapToGrid w:val="0"/>
          <w:kern w:val="0"/>
          <w:sz w:val="32"/>
          <w:szCs w:val="32"/>
          <w:shd w:val="clear" w:color="auto" w:fill="FFFFFF"/>
          <w:lang w:bidi="ar"/>
        </w:rPr>
        <w:t>医疗服务价格项目表</w:t>
      </w:r>
    </w:p>
    <w:p>
      <w:pPr>
        <w:keepNext w:val="0"/>
        <w:keepLines w:val="0"/>
        <w:pageBreakBefore w:val="0"/>
        <w:kinsoku/>
        <w:wordWrap/>
        <w:overflowPunct/>
        <w:topLinePunct w:val="0"/>
        <w:autoSpaceDE/>
        <w:autoSpaceDN/>
        <w:bidi w:val="0"/>
        <w:adjustRightInd w:val="0"/>
        <w:snapToGrid w:val="0"/>
        <w:spacing w:line="600" w:lineRule="exact"/>
        <w:ind w:firstLine="4480" w:firstLineChars="1400"/>
        <w:jc w:val="both"/>
        <w:textAlignment w:val="auto"/>
        <w:rPr>
          <w:rFonts w:hint="eastAsia" w:ascii="Times New Roman" w:hAnsi="Times New Roman" w:eastAsia="方正仿宋_GBK" w:cs="Times New Roman"/>
          <w:snapToGrid w:val="0"/>
          <w:kern w:val="0"/>
          <w:sz w:val="32"/>
          <w:szCs w:val="32"/>
          <w:shd w:val="clear" w:color="auto" w:fill="FFFFFF"/>
          <w:lang w:bidi="ar"/>
        </w:rPr>
      </w:pPr>
    </w:p>
    <w:p>
      <w:pPr>
        <w:keepNext w:val="0"/>
        <w:keepLines w:val="0"/>
        <w:pageBreakBefore w:val="0"/>
        <w:kinsoku/>
        <w:wordWrap/>
        <w:overflowPunct/>
        <w:topLinePunct w:val="0"/>
        <w:autoSpaceDE/>
        <w:autoSpaceDN/>
        <w:bidi w:val="0"/>
        <w:adjustRightInd w:val="0"/>
        <w:snapToGrid w:val="0"/>
        <w:spacing w:line="600" w:lineRule="exact"/>
        <w:ind w:firstLine="4480" w:firstLineChars="1400"/>
        <w:jc w:val="both"/>
        <w:textAlignment w:val="auto"/>
        <w:rPr>
          <w:rFonts w:hint="eastAsia" w:ascii="Times New Roman" w:hAnsi="Times New Roman" w:eastAsia="方正仿宋_GBK" w:cs="Times New Roman"/>
          <w:snapToGrid w:val="0"/>
          <w:kern w:val="0"/>
          <w:sz w:val="32"/>
          <w:szCs w:val="32"/>
          <w:shd w:val="clear" w:color="auto" w:fill="FFFFFF"/>
          <w:lang w:bidi="ar"/>
        </w:rPr>
      </w:pPr>
    </w:p>
    <w:p>
      <w:pPr>
        <w:keepNext w:val="0"/>
        <w:keepLines w:val="0"/>
        <w:pageBreakBefore w:val="0"/>
        <w:widowControl w:val="0"/>
        <w:kinsoku/>
        <w:wordWrap/>
        <w:overflowPunct/>
        <w:topLinePunct w:val="0"/>
        <w:autoSpaceDE/>
        <w:autoSpaceDN/>
        <w:bidi w:val="0"/>
        <w:adjustRightInd w:val="0"/>
        <w:snapToGrid w:val="0"/>
        <w:spacing w:line="600" w:lineRule="exact"/>
        <w:ind w:right="840" w:rightChars="400" w:firstLine="640" w:firstLineChars="200"/>
        <w:jc w:val="right"/>
        <w:textAlignment w:val="auto"/>
        <w:rPr>
          <w:rFonts w:hint="eastAsia" w:ascii="Times New Roman" w:hAnsi="Times New Roman" w:eastAsia="方正仿宋_GBK" w:cs="Times New Roman"/>
          <w:snapToGrid w:val="0"/>
          <w:kern w:val="0"/>
          <w:sz w:val="32"/>
          <w:szCs w:val="32"/>
          <w:shd w:val="clear" w:color="auto" w:fill="FFFFFF"/>
          <w:lang w:bidi="ar"/>
        </w:rPr>
      </w:pPr>
      <w:r>
        <w:rPr>
          <w:rFonts w:hint="eastAsia" w:ascii="Times New Roman" w:hAnsi="Times New Roman" w:eastAsia="方正仿宋_GBK" w:cs="Times New Roman"/>
          <w:snapToGrid w:val="0"/>
          <w:kern w:val="0"/>
          <w:sz w:val="32"/>
          <w:szCs w:val="32"/>
          <w:shd w:val="clear" w:color="auto" w:fill="FFFFFF"/>
          <w:lang w:bidi="ar"/>
        </w:rPr>
        <w:t>重庆市医疗保障局</w:t>
      </w:r>
    </w:p>
    <w:p>
      <w:pPr>
        <w:keepNext w:val="0"/>
        <w:keepLines w:val="0"/>
        <w:pageBreakBefore w:val="0"/>
        <w:widowControl w:val="0"/>
        <w:kinsoku/>
        <w:wordWrap/>
        <w:overflowPunct/>
        <w:topLinePunct w:val="0"/>
        <w:autoSpaceDE/>
        <w:autoSpaceDN/>
        <w:bidi w:val="0"/>
        <w:adjustRightInd w:val="0"/>
        <w:snapToGrid w:val="0"/>
        <w:spacing w:line="600" w:lineRule="exact"/>
        <w:ind w:right="840" w:rightChars="400" w:firstLine="0" w:firstLineChars="0"/>
        <w:jc w:val="both"/>
        <w:textAlignment w:val="auto"/>
        <w:rPr>
          <w:rFonts w:hint="eastAsia" w:ascii="Times New Roman" w:hAnsi="Times New Roman" w:eastAsia="方正仿宋_GBK" w:cs="Times New Roman"/>
          <w:snapToGrid w:val="0"/>
          <w:kern w:val="0"/>
          <w:sz w:val="32"/>
          <w:szCs w:val="32"/>
          <w:shd w:val="clear" w:color="auto" w:fill="FFFFFF"/>
          <w:lang w:bidi="ar"/>
        </w:rPr>
      </w:pPr>
      <w:r>
        <w:rPr>
          <w:rFonts w:hint="eastAsia" w:ascii="Times New Roman" w:hAnsi="Times New Roman" w:eastAsia="方正仿宋_GBK" w:cs="Times New Roman"/>
          <w:snapToGrid w:val="0"/>
          <w:kern w:val="0"/>
          <w:sz w:val="32"/>
          <w:szCs w:val="32"/>
          <w:shd w:val="clear" w:color="auto" w:fill="FFFFFF"/>
          <w:lang w:bidi="ar"/>
        </w:rPr>
        <w:t>               </w:t>
      </w:r>
      <w:r>
        <w:rPr>
          <w:rFonts w:hint="eastAsia" w:ascii="Times New Roman" w:hAnsi="Times New Roman" w:eastAsia="方正仿宋_GBK" w:cs="Times New Roman"/>
          <w:snapToGrid w:val="0"/>
          <w:kern w:val="0"/>
          <w:sz w:val="32"/>
          <w:szCs w:val="32"/>
          <w:shd w:val="clear" w:color="auto" w:fill="FFFFFF"/>
          <w:lang w:val="en-US" w:eastAsia="zh-CN" w:bidi="ar"/>
        </w:rPr>
        <w:t xml:space="preserve">      </w:t>
      </w:r>
      <w:r>
        <w:rPr>
          <w:rFonts w:hint="default" w:ascii="Times New Roman" w:hAnsi="Times New Roman" w:eastAsia="方正仿宋_GBK" w:cs="Times New Roman"/>
          <w:snapToGrid w:val="0"/>
          <w:kern w:val="0"/>
          <w:sz w:val="32"/>
          <w:szCs w:val="32"/>
          <w:shd w:val="clear" w:color="auto" w:fill="FFFFFF"/>
          <w:lang w:val="en-US" w:eastAsia="zh-CN" w:bidi="ar"/>
        </w:rPr>
        <w:t xml:space="preserve">            </w:t>
      </w:r>
      <w:r>
        <w:rPr>
          <w:rFonts w:hint="eastAsia" w:ascii="Times New Roman" w:hAnsi="Times New Roman" w:eastAsia="方正仿宋_GBK" w:cs="Times New Roman"/>
          <w:snapToGrid w:val="0"/>
          <w:kern w:val="0"/>
          <w:sz w:val="32"/>
          <w:szCs w:val="32"/>
          <w:shd w:val="clear" w:color="auto" w:fill="FFFFFF"/>
          <w:lang w:val="en-US" w:eastAsia="zh-CN" w:bidi="ar"/>
        </w:rPr>
        <w:t xml:space="preserve"> </w:t>
      </w:r>
      <w:r>
        <w:rPr>
          <w:rFonts w:hint="eastAsia" w:ascii="Times New Roman" w:hAnsi="Times New Roman" w:eastAsia="方正仿宋_GBK" w:cs="Times New Roman"/>
          <w:snapToGrid w:val="0"/>
          <w:kern w:val="0"/>
          <w:sz w:val="32"/>
          <w:szCs w:val="32"/>
          <w:shd w:val="clear" w:color="auto" w:fill="FFFFFF"/>
          <w:lang w:bidi="ar"/>
        </w:rPr>
        <w:t> 2026年</w:t>
      </w:r>
      <w:r>
        <w:rPr>
          <w:rFonts w:hint="default" w:ascii="Times New Roman" w:hAnsi="Times New Roman" w:eastAsia="方正仿宋_GBK" w:cs="Times New Roman"/>
          <w:snapToGrid w:val="0"/>
          <w:kern w:val="0"/>
          <w:sz w:val="32"/>
          <w:szCs w:val="32"/>
          <w:shd w:val="clear" w:color="auto" w:fill="FFFFFF"/>
          <w:lang w:val="en-US" w:bidi="ar"/>
        </w:rPr>
        <w:t>8</w:t>
      </w:r>
      <w:r>
        <w:rPr>
          <w:rFonts w:hint="eastAsia" w:ascii="Times New Roman" w:hAnsi="Times New Roman" w:eastAsia="方正仿宋_GBK" w:cs="Times New Roman"/>
          <w:snapToGrid w:val="0"/>
          <w:kern w:val="0"/>
          <w:sz w:val="32"/>
          <w:szCs w:val="32"/>
          <w:shd w:val="clear" w:color="auto" w:fill="FFFFFF"/>
          <w:lang w:bidi="ar"/>
        </w:rPr>
        <w:t>月</w:t>
      </w:r>
      <w:r>
        <w:rPr>
          <w:rFonts w:hint="default" w:ascii="Times New Roman" w:hAnsi="Times New Roman" w:eastAsia="方正仿宋_GBK" w:cs="Times New Roman"/>
          <w:snapToGrid w:val="0"/>
          <w:kern w:val="0"/>
          <w:sz w:val="32"/>
          <w:szCs w:val="32"/>
          <w:shd w:val="clear" w:color="auto" w:fill="FFFFFF"/>
          <w:lang w:val="en-US" w:eastAsia="zh-CN" w:bidi="ar"/>
        </w:rPr>
        <w:t>5</w:t>
      </w:r>
      <w:r>
        <w:rPr>
          <w:rFonts w:hint="eastAsia" w:ascii="Times New Roman" w:hAnsi="Times New Roman" w:eastAsia="方正仿宋_GBK" w:cs="Times New Roman"/>
          <w:snapToGrid w:val="0"/>
          <w:kern w:val="0"/>
          <w:sz w:val="32"/>
          <w:szCs w:val="32"/>
          <w:shd w:val="clear" w:color="auto" w:fill="FFFFFF"/>
          <w:lang w:bidi="ar"/>
        </w:rPr>
        <w:t>日</w:t>
      </w:r>
    </w:p>
    <w:p>
      <w:pPr>
        <w:rPr>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420" w:firstLineChars="200"/>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3" w:firstLineChars="200"/>
        <w:textAlignment w:val="auto"/>
        <w:rPr>
          <w:rFonts w:hint="eastAsia" w:ascii="方正黑体_GBK" w:hAnsi="方正黑体_GBK" w:eastAsia="方正黑体_GBK" w:cs="方正黑体_GBK"/>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方正黑体_GBK" w:hAnsi="方正黑体_GBK" w:eastAsia="方正黑体_GBK" w:cs="方正黑体_GBK"/>
          <w:kern w:val="0"/>
          <w:sz w:val="32"/>
          <w:szCs w:val="32"/>
          <w:shd w:val="clear" w:color="auto" w:fill="FFFFFF"/>
          <w:lang w:val="en-US" w:eastAsia="zh-CN" w:bidi="ar-SA"/>
        </w:rPr>
      </w:pPr>
    </w:p>
    <w:p>
      <w:pPr>
        <w:pStyle w:val="2"/>
        <w:rPr>
          <w:rFonts w:hint="eastAsia"/>
          <w:lang w:val="en-US" w:eastAsia="zh-CN"/>
        </w:rPr>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27" w:charSpace="0"/>
        </w:sectPr>
      </w:pPr>
    </w:p>
    <w:p>
      <w:pPr>
        <w:keepNext w:val="0"/>
        <w:keepLines w:val="0"/>
        <w:pageBreakBefore w:val="0"/>
        <w:kinsoku/>
        <w:wordWrap/>
        <w:overflowPunct/>
        <w:topLinePunct w:val="0"/>
        <w:autoSpaceDE/>
        <w:autoSpaceDN/>
        <w:bidi w:val="0"/>
        <w:spacing w:line="560" w:lineRule="exact"/>
        <w:jc w:val="left"/>
        <w:textAlignment w:val="auto"/>
        <w:rPr>
          <w:rFonts w:hint="eastAsia" w:ascii="Times New Roman" w:hAnsi="Times New Roman" w:eastAsia="方正黑体_GBK" w:cs="方正黑体_GBK"/>
          <w:sz w:val="32"/>
          <w:szCs w:val="32"/>
          <w:lang w:val="en-US" w:eastAsia="zh-CN"/>
        </w:rPr>
      </w:pPr>
      <w:r>
        <w:rPr>
          <w:rFonts w:hint="eastAsia" w:ascii="Times New Roman" w:hAnsi="Times New Roman" w:eastAsia="方正黑体_GBK" w:cs="方正黑体_GBK"/>
          <w:sz w:val="32"/>
          <w:szCs w:val="32"/>
          <w:lang w:eastAsia="zh-CN"/>
        </w:rPr>
        <w:t>附件</w:t>
      </w:r>
      <w:r>
        <w:rPr>
          <w:rFonts w:hint="eastAsia" w:ascii="Times New Roman" w:hAnsi="Times New Roman" w:eastAsia="方正黑体_GBK" w:cs="方正黑体_GBK"/>
          <w:sz w:val="32"/>
          <w:szCs w:val="32"/>
          <w:lang w:val="en-US" w:eastAsia="zh-CN"/>
        </w:rPr>
        <w:t>1</w:t>
      </w:r>
    </w:p>
    <w:p>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snapToGrid w:val="0"/>
          <w:kern w:val="0"/>
          <w:sz w:val="44"/>
          <w:szCs w:val="44"/>
          <w:shd w:val="clear" w:color="auto" w:fill="FFFFFF"/>
          <w:lang w:bidi="ar"/>
        </w:rPr>
      </w:pPr>
      <w:r>
        <w:rPr>
          <w:rFonts w:hint="eastAsia" w:ascii="方正小标宋_GBK" w:hAnsi="方正小标宋_GBK" w:eastAsia="方正小标宋_GBK" w:cs="方正小标宋_GBK"/>
          <w:snapToGrid w:val="0"/>
          <w:kern w:val="0"/>
          <w:sz w:val="44"/>
          <w:szCs w:val="44"/>
          <w:shd w:val="clear" w:color="auto" w:fill="FFFFFF"/>
          <w:lang w:eastAsia="zh-CN" w:bidi="ar"/>
        </w:rPr>
        <w:t>药学类</w:t>
      </w:r>
      <w:r>
        <w:rPr>
          <w:rFonts w:hint="eastAsia" w:ascii="方正小标宋_GBK" w:hAnsi="方正小标宋_GBK" w:eastAsia="方正小标宋_GBK" w:cs="方正小标宋_GBK"/>
          <w:snapToGrid w:val="0"/>
          <w:kern w:val="0"/>
          <w:sz w:val="44"/>
          <w:szCs w:val="44"/>
          <w:shd w:val="clear" w:color="auto" w:fill="FFFFFF"/>
          <w:lang w:bidi="ar"/>
        </w:rPr>
        <w:t>医疗服务价格项目表</w:t>
      </w:r>
    </w:p>
    <w:tbl>
      <w:tblPr>
        <w:tblStyle w:val="8"/>
        <w:tblpPr w:leftFromText="180" w:rightFromText="180" w:vertAnchor="text" w:horzAnchor="page" w:tblpXSpec="center" w:tblpY="618"/>
        <w:tblOverlap w:val="never"/>
        <w:tblW w:w="147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8"/>
        <w:gridCol w:w="1577"/>
        <w:gridCol w:w="1045"/>
        <w:gridCol w:w="1985"/>
        <w:gridCol w:w="1470"/>
        <w:gridCol w:w="763"/>
        <w:gridCol w:w="1840"/>
        <w:gridCol w:w="750"/>
        <w:gridCol w:w="824"/>
        <w:gridCol w:w="676"/>
        <w:gridCol w:w="1236"/>
        <w:gridCol w:w="720"/>
        <w:gridCol w:w="779"/>
        <w:gridCol w:w="7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9" w:hRule="atLeast"/>
          <w:jc w:val="center"/>
        </w:trPr>
        <w:tc>
          <w:tcPr>
            <w:tcW w:w="4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序号</w:t>
            </w:r>
          </w:p>
        </w:tc>
        <w:tc>
          <w:tcPr>
            <w:tcW w:w="15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项目编码</w:t>
            </w: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项目名称</w:t>
            </w:r>
          </w:p>
        </w:tc>
        <w:tc>
          <w:tcPr>
            <w:tcW w:w="19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服务产出</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价格构成</w:t>
            </w:r>
          </w:p>
        </w:tc>
        <w:tc>
          <w:tcPr>
            <w:tcW w:w="7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kern w:val="0"/>
                <w:sz w:val="18"/>
                <w:szCs w:val="18"/>
                <w:u w:val="none"/>
                <w:lang w:val="en-US" w:eastAsia="zh-CN" w:bidi="ar"/>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计价</w:t>
            </w:r>
          </w:p>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单位</w:t>
            </w:r>
          </w:p>
        </w:tc>
        <w:tc>
          <w:tcPr>
            <w:tcW w:w="1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计价说明</w:t>
            </w:r>
          </w:p>
        </w:tc>
        <w:tc>
          <w:tcPr>
            <w:tcW w:w="348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政府指导价</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医保属性</w:t>
            </w:r>
          </w:p>
        </w:tc>
        <w:tc>
          <w:tcPr>
            <w:tcW w:w="7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医保支付限制</w:t>
            </w:r>
          </w:p>
        </w:tc>
        <w:tc>
          <w:tcPr>
            <w:tcW w:w="7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归集口径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9" w:hRule="atLeast"/>
          <w:jc w:val="center"/>
        </w:trPr>
        <w:tc>
          <w:tcPr>
            <w:tcW w:w="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黑体_GBK" w:cs="方正黑体_GBK"/>
                <w:b w:val="0"/>
                <w:bCs w:val="0"/>
                <w:i w:val="0"/>
                <w:iCs w:val="0"/>
                <w:color w:val="000000"/>
                <w:sz w:val="18"/>
                <w:szCs w:val="18"/>
                <w:u w:val="none"/>
              </w:rPr>
            </w:pPr>
          </w:p>
        </w:tc>
        <w:tc>
          <w:tcPr>
            <w:tcW w:w="15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黑体_GBK" w:cs="方正黑体_GBK"/>
                <w:b w:val="0"/>
                <w:bCs w:val="0"/>
                <w:i w:val="0"/>
                <w:iCs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黑体_GBK" w:cs="方正黑体_GBK"/>
                <w:b w:val="0"/>
                <w:bCs w:val="0"/>
                <w:i w:val="0"/>
                <w:iCs w:val="0"/>
                <w:color w:val="000000"/>
                <w:sz w:val="18"/>
                <w:szCs w:val="18"/>
                <w:u w:val="none"/>
              </w:rPr>
            </w:pP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黑体_GBK" w:cs="方正黑体_GBK"/>
                <w:b w:val="0"/>
                <w:bCs w:val="0"/>
                <w:i w:val="0"/>
                <w:iCs w:val="0"/>
                <w:color w:val="000000"/>
                <w:sz w:val="18"/>
                <w:szCs w:val="18"/>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黑体_GBK" w:cs="方正黑体_GBK"/>
                <w:b w:val="0"/>
                <w:bCs w:val="0"/>
                <w:i w:val="0"/>
                <w:iCs w:val="0"/>
                <w:color w:val="000000"/>
                <w:sz w:val="18"/>
                <w:szCs w:val="18"/>
                <w:u w:val="none"/>
              </w:rPr>
            </w:pPr>
          </w:p>
        </w:tc>
        <w:tc>
          <w:tcPr>
            <w:tcW w:w="7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黑体_GBK" w:cs="方正黑体_GBK"/>
                <w:b w:val="0"/>
                <w:bCs w:val="0"/>
                <w:i w:val="0"/>
                <w:iCs w:val="0"/>
                <w:color w:val="000000"/>
                <w:sz w:val="18"/>
                <w:szCs w:val="18"/>
                <w:u w:val="none"/>
              </w:rPr>
            </w:pPr>
          </w:p>
        </w:tc>
        <w:tc>
          <w:tcPr>
            <w:tcW w:w="1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黑体_GBK" w:cs="方正黑体_GBK"/>
                <w:b w:val="0"/>
                <w:bCs w:val="0"/>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三级医院</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kern w:val="0"/>
                <w:sz w:val="18"/>
                <w:szCs w:val="18"/>
                <w:u w:val="none"/>
                <w:lang w:val="en-US" w:eastAsia="zh-CN" w:bidi="ar"/>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二级</w:t>
            </w:r>
          </w:p>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医院</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一级医院</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黑体_GBK" w:cs="方正黑体_GBK"/>
                <w:b w:val="0"/>
                <w:bCs w:val="0"/>
                <w:i w:val="0"/>
                <w:iCs w:val="0"/>
                <w:color w:val="000000"/>
                <w:sz w:val="18"/>
                <w:szCs w:val="18"/>
                <w:u w:val="none"/>
              </w:rPr>
            </w:pPr>
            <w:r>
              <w:rPr>
                <w:rFonts w:hint="eastAsia" w:ascii="Times New Roman" w:hAnsi="Times New Roman" w:eastAsia="方正黑体_GBK" w:cs="方正黑体_GBK"/>
                <w:b w:val="0"/>
                <w:bCs w:val="0"/>
                <w:i w:val="0"/>
                <w:iCs w:val="0"/>
                <w:color w:val="000000"/>
                <w:kern w:val="0"/>
                <w:sz w:val="18"/>
                <w:szCs w:val="18"/>
                <w:u w:val="none"/>
                <w:lang w:val="en-US" w:eastAsia="zh-CN" w:bidi="ar"/>
              </w:rPr>
              <w:t>其他医疗机构（含基层医疗机构）</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b/>
                <w:bCs/>
                <w:i w:val="0"/>
                <w:iCs w:val="0"/>
                <w:color w:val="000000"/>
                <w:sz w:val="18"/>
                <w:szCs w:val="18"/>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b/>
                <w:bCs/>
                <w:i w:val="0"/>
                <w:iCs w:val="0"/>
                <w:color w:val="000000"/>
                <w:sz w:val="18"/>
                <w:szCs w:val="18"/>
                <w:u w:val="none"/>
              </w:rPr>
            </w:pPr>
          </w:p>
        </w:tc>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18"/>
                <w:szCs w:val="18"/>
                <w:u w:val="none"/>
              </w:rPr>
            </w:pP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药学类</w:t>
            </w:r>
          </w:p>
        </w:tc>
        <w:tc>
          <w:tcPr>
            <w:tcW w:w="954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使用说明：</w:t>
            </w:r>
            <w:r>
              <w:rPr>
                <w:rFonts w:hint="eastAsia" w:ascii="Times New Roman" w:hAnsi="Times New Roman" w:eastAsia="宋体" w:cs="宋体"/>
                <w:i w:val="0"/>
                <w:iCs w:val="0"/>
                <w:color w:val="000000"/>
                <w:kern w:val="0"/>
                <w:sz w:val="18"/>
                <w:szCs w:val="18"/>
                <w:u w:val="none"/>
                <w:lang w:val="en-US" w:eastAsia="zh-CN" w:bidi="ar"/>
              </w:rPr>
              <w:br w:type="textWrapping"/>
            </w:r>
            <w:r>
              <w:rPr>
                <w:rFonts w:hint="eastAsia" w:ascii="Times New Roman" w:hAnsi="Times New Roman" w:eastAsia="宋体" w:cs="宋体"/>
                <w:i w:val="0"/>
                <w:iCs w:val="0"/>
                <w:color w:val="000000"/>
                <w:kern w:val="0"/>
                <w:sz w:val="18"/>
                <w:szCs w:val="18"/>
                <w:u w:val="none"/>
                <w:lang w:val="en-US" w:eastAsia="zh-CN" w:bidi="ar"/>
              </w:rPr>
              <w:t>1.本类项目以药学类服务为重点，覆盖相关常用药学类服务价格项目。</w:t>
            </w:r>
            <w:r>
              <w:rPr>
                <w:rFonts w:hint="eastAsia" w:ascii="Times New Roman" w:hAnsi="Times New Roman" w:eastAsia="宋体" w:cs="宋体"/>
                <w:i w:val="0"/>
                <w:iCs w:val="0"/>
                <w:color w:val="000000"/>
                <w:kern w:val="0"/>
                <w:sz w:val="18"/>
                <w:szCs w:val="18"/>
                <w:u w:val="none"/>
                <w:lang w:val="en-US" w:eastAsia="zh-CN" w:bidi="ar"/>
              </w:rPr>
              <w:br w:type="textWrapping"/>
            </w:r>
            <w:r>
              <w:rPr>
                <w:rFonts w:hint="eastAsia" w:ascii="Times New Roman" w:hAnsi="Times New Roman" w:eastAsia="宋体" w:cs="宋体"/>
                <w:i w:val="0"/>
                <w:iCs w:val="0"/>
                <w:color w:val="000000"/>
                <w:kern w:val="0"/>
                <w:sz w:val="18"/>
                <w:szCs w:val="18"/>
                <w:u w:val="none"/>
                <w:lang w:val="en-US" w:eastAsia="zh-CN" w:bidi="ar"/>
              </w:rPr>
              <w:t>2.根据《深化医疗服务价格改革试点方案》（医保发〔2021〕41号）关于“厘清价格项目与临床诊疗技术规范、医疗机构成本要素、不同应用场景和收费标准等的政策边界。分类整合现行价格项目，实现价格项目与操作步骤、诊疗部位等技术细节脱钩，增强现行价格项目对医疗技术和医疗活动改良创新的兼容性”的要求，服务产出相同的一类项目在操作层面存在差异，但在价格项目和定价水平层面具备合并同类项的条件，立项指南对此进行合并。所定价格属于政府指导价为最高限价，下浮不限。医疗机构申报技术改良进步价格项目的，可采取“现有项目兼容”方式处理，经向本地区医疗保障部门报告后可按照对应的项目执行。</w:t>
            </w:r>
            <w:r>
              <w:rPr>
                <w:rFonts w:hint="eastAsia" w:ascii="Times New Roman" w:hAnsi="Times New Roman" w:eastAsia="宋体" w:cs="宋体"/>
                <w:i w:val="0"/>
                <w:iCs w:val="0"/>
                <w:color w:val="000000"/>
                <w:kern w:val="0"/>
                <w:sz w:val="18"/>
                <w:szCs w:val="18"/>
                <w:u w:val="none"/>
                <w:lang w:val="en-US" w:eastAsia="zh-CN" w:bidi="ar"/>
              </w:rPr>
              <w:br w:type="textWrapping"/>
            </w:r>
            <w:r>
              <w:rPr>
                <w:rFonts w:hint="eastAsia" w:ascii="Times New Roman" w:hAnsi="Times New Roman" w:eastAsia="宋体" w:cs="宋体"/>
                <w:i w:val="0"/>
                <w:iCs w:val="0"/>
                <w:color w:val="000000"/>
                <w:kern w:val="0"/>
                <w:sz w:val="18"/>
                <w:szCs w:val="18"/>
                <w:u w:val="none"/>
                <w:lang w:val="en-US" w:eastAsia="zh-CN" w:bidi="ar"/>
              </w:rPr>
              <w:t>3.本立项指南所称“价格构成”，指项目价格应涵盖的各类资源消耗，用于确定计价单元的边界，是制定调整项目价格的测算因子，不应作为临床技术标准理解，不是实际操作方式、路径、步骤、程序的强制性要求，价格构成中包含但临床实践中非必要、未发生的，无需强制要求公立医疗机构减计费用。所列“设备投入”包括但不限于操作设备、器具及固定资产投入。</w:t>
            </w:r>
            <w:r>
              <w:rPr>
                <w:rFonts w:hint="eastAsia" w:ascii="Times New Roman" w:hAnsi="Times New Roman" w:eastAsia="宋体" w:cs="宋体"/>
                <w:i w:val="0"/>
                <w:iCs w:val="0"/>
                <w:color w:val="000000"/>
                <w:kern w:val="0"/>
                <w:sz w:val="18"/>
                <w:szCs w:val="18"/>
                <w:u w:val="none"/>
                <w:lang w:val="en-US" w:eastAsia="zh-CN" w:bidi="ar"/>
              </w:rPr>
              <w:br w:type="textWrapping"/>
            </w:r>
            <w:r>
              <w:rPr>
                <w:rFonts w:hint="eastAsia" w:ascii="Times New Roman" w:hAnsi="Times New Roman" w:eastAsia="宋体" w:cs="宋体"/>
                <w:i w:val="0"/>
                <w:iCs w:val="0"/>
                <w:color w:val="000000"/>
                <w:kern w:val="0"/>
                <w:sz w:val="18"/>
                <w:szCs w:val="18"/>
                <w:u w:val="none"/>
                <w:lang w:val="en-US" w:eastAsia="zh-CN" w:bidi="ar"/>
              </w:rPr>
              <w:t>4.本立项指南所称“加收项”，指同一项目以不同方式提供或在不同场景应用时，确有必要制定差异化收费标准而细分的一类子项，包括在原项目价格基础上增加或减少收费的情况；实际应用中，同时涉及多个加收项的，以项目单价为基础计算相应的加/减收水平后，据实收费。</w:t>
            </w:r>
            <w:r>
              <w:rPr>
                <w:rFonts w:hint="eastAsia" w:ascii="Times New Roman" w:hAnsi="Times New Roman" w:eastAsia="宋体" w:cs="宋体"/>
                <w:i w:val="0"/>
                <w:iCs w:val="0"/>
                <w:color w:val="000000"/>
                <w:kern w:val="0"/>
                <w:sz w:val="18"/>
                <w:szCs w:val="18"/>
                <w:u w:val="none"/>
                <w:lang w:val="en-US" w:eastAsia="zh-CN" w:bidi="ar"/>
              </w:rPr>
              <w:br w:type="textWrapping"/>
            </w:r>
            <w:r>
              <w:rPr>
                <w:rFonts w:hint="eastAsia" w:ascii="Times New Roman" w:hAnsi="Times New Roman" w:eastAsia="宋体" w:cs="宋体"/>
                <w:i w:val="0"/>
                <w:iCs w:val="0"/>
                <w:color w:val="000000"/>
                <w:kern w:val="0"/>
                <w:sz w:val="18"/>
                <w:szCs w:val="18"/>
                <w:u w:val="none"/>
                <w:lang w:val="en-US" w:eastAsia="zh-CN" w:bidi="ar"/>
              </w:rPr>
              <w:t>5.本立项指南所称“扩展项”，指同一项目下以不同方式提供或在不同场景应用时，只扩展价格项目适用范围、不额外加价的一类子项，子项的价格按主项目执行。</w:t>
            </w:r>
            <w:r>
              <w:rPr>
                <w:rFonts w:hint="eastAsia" w:ascii="Times New Roman" w:hAnsi="Times New Roman" w:eastAsia="宋体" w:cs="宋体"/>
                <w:i w:val="0"/>
                <w:iCs w:val="0"/>
                <w:color w:val="000000"/>
                <w:kern w:val="0"/>
                <w:sz w:val="18"/>
                <w:szCs w:val="18"/>
                <w:u w:val="none"/>
                <w:lang w:val="en-US" w:eastAsia="zh-CN" w:bidi="ar"/>
              </w:rPr>
              <w:br w:type="textWrapping"/>
            </w:r>
            <w:r>
              <w:rPr>
                <w:rFonts w:hint="eastAsia" w:ascii="Times New Roman" w:hAnsi="Times New Roman" w:eastAsia="宋体" w:cs="宋体"/>
                <w:i w:val="0"/>
                <w:iCs w:val="0"/>
                <w:color w:val="000000"/>
                <w:kern w:val="0"/>
                <w:sz w:val="18"/>
                <w:szCs w:val="18"/>
                <w:u w:val="none"/>
                <w:lang w:val="en-US" w:eastAsia="zh-CN" w:bidi="ar"/>
              </w:rPr>
              <w:t>6. 本立项指南中所称“基本物质资源消耗”，指原则上限于不应或不必要与医疗服务项目分割的易耗品，包括但不限于各类消杀灭菌用品、储存用品、清洁用品、个人防护用品、垃圾处理用品、滑石粉、标签、中单、护（尿）垫、棉球、棉签、纱布（垫）、治疗护理盘（包）、治疗巾（单）、手术巾（单）、手术包、注射器、试剂（含固定液等辅助试剂）、可复用的操作器具等。基本物质资源消耗成本计入项目价格，不另行收费。除基本物质资源消耗以外的其他耗材，按照实际采购价格零差率销售。</w:t>
            </w:r>
            <w:r>
              <w:rPr>
                <w:rFonts w:hint="eastAsia" w:ascii="Times New Roman" w:hAnsi="Times New Roman" w:eastAsia="宋体" w:cs="宋体"/>
                <w:i w:val="0"/>
                <w:iCs w:val="0"/>
                <w:color w:val="000000"/>
                <w:kern w:val="0"/>
                <w:sz w:val="18"/>
                <w:szCs w:val="18"/>
                <w:u w:val="none"/>
                <w:lang w:val="en-US" w:eastAsia="zh-CN" w:bidi="ar"/>
              </w:rPr>
              <w:br w:type="textWrapping"/>
            </w:r>
            <w:r>
              <w:rPr>
                <w:rFonts w:hint="eastAsia" w:ascii="Times New Roman" w:hAnsi="Times New Roman" w:eastAsia="宋体" w:cs="宋体"/>
                <w:i w:val="0"/>
                <w:iCs w:val="0"/>
                <w:color w:val="000000"/>
                <w:kern w:val="0"/>
                <w:sz w:val="18"/>
                <w:szCs w:val="18"/>
                <w:u w:val="none"/>
                <w:lang w:val="en-US" w:eastAsia="zh-CN" w:bidi="ar"/>
              </w:rPr>
              <w:t>7.药敏检验、基因检测等与用药指导相关的医疗服务价格项目在病理类和检验类立项指南中另行规定。</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16"/>
                <w:szCs w:val="16"/>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16"/>
                <w:szCs w:val="16"/>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2" w:hRule="atLeast"/>
          <w:jc w:val="center"/>
        </w:trPr>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011102020030000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门诊诊查费（药学门诊）</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指卫生主管部门认定具有药学门诊资质的临床药师，提供技术劳务的门诊药学/中药学服务，包含为患者提供从药学/中药学咨询到用药指导，制定用药方案的药学服务。</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所定价格涵盖核实信息、药学咨询、评估用药情况、开展药学指导、制定用药方案、干预或提出药物重整建议、建立药历等所需的人力资源和基本物质资源消耗。</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次</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1.本项目的药学服务涵盖西药、中药及民族药。</w:t>
            </w:r>
            <w:r>
              <w:rPr>
                <w:rFonts w:hint="eastAsia" w:ascii="Times New Roman" w:hAnsi="Times New Roman" w:eastAsia="宋体" w:cs="宋体"/>
                <w:i w:val="0"/>
                <w:iCs w:val="0"/>
                <w:color w:val="000000"/>
                <w:kern w:val="0"/>
                <w:sz w:val="18"/>
                <w:szCs w:val="18"/>
                <w:u w:val="none"/>
                <w:lang w:val="en-US" w:eastAsia="zh-CN" w:bidi="ar"/>
              </w:rPr>
              <w:br w:type="textWrapping"/>
            </w:r>
            <w:r>
              <w:rPr>
                <w:rFonts w:hint="eastAsia" w:ascii="Times New Roman" w:hAnsi="Times New Roman" w:eastAsia="宋体" w:cs="宋体"/>
                <w:i w:val="0"/>
                <w:iCs w:val="0"/>
                <w:color w:val="000000"/>
                <w:kern w:val="0"/>
                <w:sz w:val="18"/>
                <w:szCs w:val="18"/>
                <w:u w:val="none"/>
                <w:lang w:val="en-US" w:eastAsia="zh-CN" w:bidi="ar"/>
              </w:rPr>
              <w:t>2.一般诊疗费已包含药事服务成本，基层医疗机构收取一般诊疗费时，不得同时收取“门诊诊查费（药学门诊）”。</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15.0 </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9.0</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6.0 </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6.0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3"/>
                <w:szCs w:val="13"/>
                <w:u w:val="none"/>
              </w:rPr>
            </w:pPr>
            <w:r>
              <w:rPr>
                <w:rFonts w:hint="eastAsia" w:ascii="Times New Roman" w:hAnsi="Times New Roman" w:eastAsia="宋体" w:cs="宋体"/>
                <w:i w:val="0"/>
                <w:iCs w:val="0"/>
                <w:color w:val="000000"/>
                <w:kern w:val="0"/>
                <w:sz w:val="13"/>
                <w:szCs w:val="13"/>
                <w:u w:val="none"/>
                <w:lang w:val="en-US" w:eastAsia="zh-CN" w:bidi="ar"/>
              </w:rPr>
              <w:t>甲类</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仿宋_GB2312" w:cs="仿宋_GB2312"/>
                <w:i w:val="0"/>
                <w:iCs w:val="0"/>
                <w:color w:val="000000"/>
                <w:sz w:val="13"/>
                <w:szCs w:val="13"/>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仿宋_GB2312"/>
                <w:i w:val="0"/>
                <w:iCs w:val="0"/>
                <w:color w:val="000000"/>
                <w:sz w:val="13"/>
                <w:szCs w:val="13"/>
                <w:u w:val="none"/>
              </w:rPr>
            </w:pPr>
            <w:r>
              <w:rPr>
                <w:rFonts w:hint="default" w:ascii="Times New Roman" w:hAnsi="Times New Roman" w:eastAsia="仿宋_GB2312" w:cs="仿宋_GB2312"/>
                <w:i w:val="0"/>
                <w:iCs w:val="0"/>
                <w:color w:val="000000"/>
                <w:kern w:val="0"/>
                <w:sz w:val="13"/>
                <w:szCs w:val="13"/>
                <w:u w:val="none"/>
                <w:lang w:val="en-US" w:eastAsia="zh-CN" w:bidi="ar"/>
              </w:rPr>
              <w:t>诊查费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15" w:hRule="atLeast"/>
          <w:jc w:val="center"/>
        </w:trPr>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2</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011102020030001</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门诊诊查费（药学门诊）-副主任（中）药师（加收）</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left"/>
              <w:rPr>
                <w:rFonts w:hint="eastAsia" w:ascii="Times New Roman" w:hAnsi="Times New Roman" w:eastAsia="宋体" w:cs="宋体"/>
                <w:i w:val="0"/>
                <w:iCs w:val="0"/>
                <w:color w:val="000000"/>
                <w:sz w:val="18"/>
                <w:szCs w:val="18"/>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left"/>
              <w:rPr>
                <w:rFonts w:hint="eastAsia" w:ascii="Times New Roman" w:hAnsi="Times New Roman" w:eastAsia="宋体" w:cs="宋体"/>
                <w:i w:val="0"/>
                <w:iCs w:val="0"/>
                <w:color w:val="000000"/>
                <w:sz w:val="18"/>
                <w:szCs w:val="18"/>
                <w:u w:val="none"/>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次</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rPr>
                <w:rFonts w:hint="eastAsia" w:ascii="Times New Roman" w:hAnsi="Times New Roman" w:eastAsia="宋体" w:cs="宋体"/>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7.0 </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6.0 </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4.0 </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4.0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3"/>
                <w:szCs w:val="13"/>
                <w:u w:val="none"/>
              </w:rPr>
            </w:pPr>
            <w:r>
              <w:rPr>
                <w:rFonts w:hint="eastAsia" w:ascii="Times New Roman" w:hAnsi="Times New Roman" w:eastAsia="宋体" w:cs="宋体"/>
                <w:i w:val="0"/>
                <w:iCs w:val="0"/>
                <w:color w:val="000000"/>
                <w:kern w:val="0"/>
                <w:sz w:val="13"/>
                <w:szCs w:val="13"/>
                <w:u w:val="none"/>
                <w:lang w:val="en-US" w:eastAsia="zh-CN" w:bidi="ar"/>
              </w:rPr>
              <w:t>甲类</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仿宋_GB2312" w:cs="仿宋_GB2312"/>
                <w:i w:val="0"/>
                <w:iCs w:val="0"/>
                <w:color w:val="000000"/>
                <w:sz w:val="13"/>
                <w:szCs w:val="13"/>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仿宋_GB2312"/>
                <w:i w:val="0"/>
                <w:iCs w:val="0"/>
                <w:color w:val="000000"/>
                <w:sz w:val="13"/>
                <w:szCs w:val="13"/>
                <w:u w:val="none"/>
              </w:rPr>
            </w:pPr>
            <w:r>
              <w:rPr>
                <w:rFonts w:hint="default" w:ascii="Times New Roman" w:hAnsi="Times New Roman" w:eastAsia="仿宋_GB2312" w:cs="仿宋_GB2312"/>
                <w:i w:val="0"/>
                <w:iCs w:val="0"/>
                <w:color w:val="000000"/>
                <w:kern w:val="0"/>
                <w:sz w:val="13"/>
                <w:szCs w:val="13"/>
                <w:u w:val="none"/>
                <w:lang w:val="en-US" w:eastAsia="zh-CN" w:bidi="ar"/>
              </w:rPr>
              <w:t>诊查费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5" w:hRule="atLeast"/>
          <w:jc w:val="center"/>
        </w:trPr>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3</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011102020030002</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门诊诊查费（药学门诊）-主任（中）药师（加收）</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left"/>
              <w:rPr>
                <w:rFonts w:hint="eastAsia" w:ascii="Times New Roman" w:hAnsi="Times New Roman" w:eastAsia="宋体" w:cs="宋体"/>
                <w:i w:val="0"/>
                <w:iCs w:val="0"/>
                <w:color w:val="000000"/>
                <w:sz w:val="18"/>
                <w:szCs w:val="18"/>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left"/>
              <w:rPr>
                <w:rFonts w:hint="eastAsia" w:ascii="Times New Roman" w:hAnsi="Times New Roman" w:eastAsia="宋体" w:cs="宋体"/>
                <w:i w:val="0"/>
                <w:iCs w:val="0"/>
                <w:color w:val="000000"/>
                <w:sz w:val="18"/>
                <w:szCs w:val="18"/>
                <w:u w:val="none"/>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次</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rPr>
                <w:rFonts w:hint="eastAsia" w:ascii="Times New Roman" w:hAnsi="Times New Roman" w:eastAsia="宋体" w:cs="宋体"/>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15.0 </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11.0</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9.0</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9.0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3"/>
                <w:szCs w:val="13"/>
                <w:u w:val="none"/>
              </w:rPr>
            </w:pPr>
            <w:r>
              <w:rPr>
                <w:rFonts w:hint="eastAsia" w:ascii="Times New Roman" w:hAnsi="Times New Roman" w:eastAsia="宋体" w:cs="宋体"/>
                <w:i w:val="0"/>
                <w:iCs w:val="0"/>
                <w:color w:val="000000"/>
                <w:kern w:val="0"/>
                <w:sz w:val="13"/>
                <w:szCs w:val="13"/>
                <w:u w:val="none"/>
                <w:lang w:val="en-US" w:eastAsia="zh-CN" w:bidi="ar"/>
              </w:rPr>
              <w:t>甲类</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仿宋_GB2312" w:cs="仿宋_GB2312"/>
                <w:i w:val="0"/>
                <w:iCs w:val="0"/>
                <w:color w:val="000000"/>
                <w:sz w:val="13"/>
                <w:szCs w:val="13"/>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仿宋_GB2312"/>
                <w:i w:val="0"/>
                <w:iCs w:val="0"/>
                <w:color w:val="000000"/>
                <w:sz w:val="13"/>
                <w:szCs w:val="13"/>
                <w:u w:val="none"/>
              </w:rPr>
            </w:pPr>
            <w:r>
              <w:rPr>
                <w:rFonts w:hint="default" w:ascii="Times New Roman" w:hAnsi="Times New Roman" w:eastAsia="仿宋_GB2312" w:cs="仿宋_GB2312"/>
                <w:i w:val="0"/>
                <w:iCs w:val="0"/>
                <w:color w:val="000000"/>
                <w:kern w:val="0"/>
                <w:sz w:val="13"/>
                <w:szCs w:val="13"/>
                <w:u w:val="none"/>
                <w:lang w:val="en-US" w:eastAsia="zh-CN" w:bidi="ar"/>
              </w:rPr>
              <w:t>诊查费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2" w:hRule="atLeast"/>
          <w:jc w:val="center"/>
        </w:trPr>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4</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011102030020000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住院诊查费（临床药学）</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指医疗机构在患者住院期间提供药学综合服务，并由临床药师结合患者病情和用药情况，参与临床医师住院巡诊，协同制定个体化药物治疗方案，并进行用药监护和用药安全指导的药学服务。</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所定价格涵盖参与住院巡诊、协同制定个体化药物治疗方案、疗效观察、药物不良反应监测、安全用药指导、干预或提出药物重整等建议、建立药历等所需的人力资源和基本物质资源消耗。</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日</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br w:type="textWrapping"/>
            </w:r>
            <w:r>
              <w:rPr>
                <w:rFonts w:hint="eastAsia" w:ascii="Times New Roman" w:hAnsi="Times New Roman" w:eastAsia="宋体" w:cs="宋体"/>
                <w:i w:val="0"/>
                <w:iCs w:val="0"/>
                <w:color w:val="000000"/>
                <w:kern w:val="0"/>
                <w:sz w:val="18"/>
                <w:szCs w:val="18"/>
                <w:u w:val="none"/>
                <w:lang w:val="en-US" w:eastAsia="zh-CN" w:bidi="ar"/>
              </w:rPr>
              <w:t>符合规定资质的临床药师参与临床医师住院巡诊，每日收取10元；住院天数≤30天的，收取费用最高不超过60元；住院天数＞30天的，收取费用最高不超过100元。</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10.0 </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10.0 </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10.0 </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宋体" w:cs="宋体"/>
                <w:i w:val="0"/>
                <w:iCs w:val="0"/>
                <w:color w:val="000000"/>
                <w:sz w:val="13"/>
                <w:szCs w:val="13"/>
                <w:u w:val="none"/>
              </w:rPr>
            </w:pPr>
            <w:r>
              <w:rPr>
                <w:rFonts w:hint="eastAsia" w:ascii="Times New Roman" w:hAnsi="Times New Roman" w:eastAsia="宋体" w:cs="宋体"/>
                <w:i w:val="0"/>
                <w:iCs w:val="0"/>
                <w:color w:val="000000"/>
                <w:kern w:val="0"/>
                <w:sz w:val="13"/>
                <w:szCs w:val="13"/>
                <w:u w:val="none"/>
                <w:lang w:val="en-US" w:eastAsia="zh-CN" w:bidi="ar"/>
              </w:rPr>
              <w:t>甲类</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仿宋_GB2312" w:cs="仿宋_GB2312"/>
                <w:i w:val="0"/>
                <w:iCs w:val="0"/>
                <w:color w:val="000000"/>
                <w:sz w:val="13"/>
                <w:szCs w:val="13"/>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仿宋_GB2312"/>
                <w:i w:val="0"/>
                <w:iCs w:val="0"/>
                <w:color w:val="000000"/>
                <w:sz w:val="13"/>
                <w:szCs w:val="13"/>
                <w:u w:val="none"/>
              </w:rPr>
            </w:pPr>
            <w:r>
              <w:rPr>
                <w:rFonts w:hint="default" w:ascii="Times New Roman" w:hAnsi="Times New Roman" w:eastAsia="仿宋_GB2312" w:cs="仿宋_GB2312"/>
                <w:i w:val="0"/>
                <w:iCs w:val="0"/>
                <w:color w:val="000000"/>
                <w:kern w:val="0"/>
                <w:sz w:val="13"/>
                <w:szCs w:val="13"/>
                <w:u w:val="none"/>
                <w:lang w:val="en-US" w:eastAsia="zh-CN" w:bidi="ar"/>
              </w:rPr>
              <w:t>诊查费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8" w:hRule="atLeast"/>
          <w:jc w:val="center"/>
        </w:trPr>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5</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011400000010000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居家药学服务费</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指医疗机构派出药师为居家药物治疗的患者提供用药评估指导、家庭药箱管理等药学服务。</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所定价格涵盖上门提供药学咨询、评估用药情况、开展药学指导、制定用药方案、干预或提出药物重整建议、药箱整理等步骤所需的人力资源和基本物质资源消耗。</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次</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1.医疗机构上门提供居家药学服务的，按照上门提供医疗服务的收费政策，同样采取“居家药学服务费+上门服务费”的方式收费。</w:t>
            </w:r>
            <w:r>
              <w:rPr>
                <w:rFonts w:hint="eastAsia" w:ascii="Times New Roman" w:hAnsi="Times New Roman" w:eastAsia="宋体" w:cs="宋体"/>
                <w:i w:val="0"/>
                <w:iCs w:val="0"/>
                <w:color w:val="000000"/>
                <w:kern w:val="0"/>
                <w:sz w:val="18"/>
                <w:szCs w:val="18"/>
                <w:u w:val="none"/>
                <w:lang w:val="en-US" w:eastAsia="zh-CN" w:bidi="ar"/>
              </w:rPr>
              <w:br w:type="textWrapping"/>
            </w:r>
            <w:r>
              <w:rPr>
                <w:rFonts w:hint="eastAsia" w:ascii="Times New Roman" w:hAnsi="Times New Roman" w:eastAsia="宋体" w:cs="宋体"/>
                <w:i w:val="0"/>
                <w:iCs w:val="0"/>
                <w:color w:val="000000"/>
                <w:kern w:val="0"/>
                <w:sz w:val="18"/>
                <w:szCs w:val="18"/>
                <w:u w:val="none"/>
                <w:lang w:val="en-US" w:eastAsia="zh-CN" w:bidi="ar"/>
              </w:rPr>
              <w:t>2.居家药学服务已合并计入家庭医生签约服务的，不得重复收取费用。</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15.0 </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15.0 </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15.0 </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15.0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3"/>
                <w:szCs w:val="13"/>
                <w:u w:val="none"/>
              </w:rPr>
            </w:pPr>
            <w:r>
              <w:rPr>
                <w:rFonts w:hint="eastAsia" w:ascii="Times New Roman" w:hAnsi="Times New Roman" w:eastAsia="宋体" w:cs="宋体"/>
                <w:i w:val="0"/>
                <w:iCs w:val="0"/>
                <w:color w:val="000000"/>
                <w:kern w:val="0"/>
                <w:sz w:val="13"/>
                <w:szCs w:val="13"/>
                <w:u w:val="none"/>
                <w:lang w:val="en-US" w:eastAsia="zh-CN" w:bidi="ar"/>
              </w:rPr>
              <w:t>自费</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仿宋_GB2312"/>
                <w:i w:val="0"/>
                <w:iCs w:val="0"/>
                <w:color w:val="000000"/>
                <w:sz w:val="13"/>
                <w:szCs w:val="13"/>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仿宋_GB2312"/>
                <w:i w:val="0"/>
                <w:iCs w:val="0"/>
                <w:color w:val="000000"/>
                <w:sz w:val="13"/>
                <w:szCs w:val="13"/>
                <w:u w:val="none"/>
              </w:rPr>
            </w:pPr>
            <w:r>
              <w:rPr>
                <w:rFonts w:hint="default" w:ascii="Times New Roman" w:hAnsi="Times New Roman" w:eastAsia="仿宋_GB2312" w:cs="仿宋_GB2312"/>
                <w:i w:val="0"/>
                <w:iCs w:val="0"/>
                <w:color w:val="000000"/>
                <w:kern w:val="0"/>
                <w:sz w:val="13"/>
                <w:szCs w:val="13"/>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jc w:val="center"/>
        </w:trPr>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6</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011400000020000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药品集中配置费</w:t>
            </w:r>
            <w:r>
              <w:rPr>
                <w:rFonts w:hint="eastAsia" w:ascii="Times New Roman" w:hAnsi="Times New Roman" w:eastAsia="宋体" w:cs="宋体"/>
                <w:i w:val="0"/>
                <w:iCs w:val="0"/>
                <w:color w:val="000000"/>
                <w:kern w:val="0"/>
                <w:sz w:val="18"/>
                <w:szCs w:val="18"/>
                <w:u w:val="none"/>
                <w:lang w:val="en-US" w:eastAsia="zh-CN" w:bidi="ar"/>
              </w:rPr>
              <w:br w:type="textWrapping"/>
            </w:r>
            <w:r>
              <w:rPr>
                <w:rFonts w:hint="eastAsia" w:ascii="Times New Roman" w:hAnsi="Times New Roman" w:eastAsia="宋体" w:cs="宋体"/>
                <w:i w:val="0"/>
                <w:iCs w:val="0"/>
                <w:color w:val="000000"/>
                <w:kern w:val="0"/>
                <w:sz w:val="18"/>
                <w:szCs w:val="18"/>
                <w:u w:val="none"/>
                <w:lang w:val="en-US" w:eastAsia="zh-CN" w:bidi="ar"/>
              </w:rPr>
              <w:t>（肠外营养液）</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按操作规范要求，在静脉药物配置中心集中配置肠外营养液。</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所定价格涵盖处方审核、药液配置、成品封装等步骤所需的人力资源和基本物质资源消耗。</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组</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40.0 </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36.4 </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34.6 </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32.8</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3"/>
                <w:szCs w:val="13"/>
                <w:u w:val="none"/>
              </w:rPr>
            </w:pPr>
            <w:r>
              <w:rPr>
                <w:rFonts w:hint="eastAsia" w:ascii="Times New Roman" w:hAnsi="Times New Roman" w:eastAsia="宋体" w:cs="宋体"/>
                <w:i w:val="0"/>
                <w:iCs w:val="0"/>
                <w:color w:val="000000"/>
                <w:kern w:val="0"/>
                <w:sz w:val="13"/>
                <w:szCs w:val="13"/>
                <w:u w:val="none"/>
                <w:lang w:val="en-US" w:eastAsia="zh-CN" w:bidi="ar"/>
              </w:rPr>
              <w:t>甲类</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仿宋_GB2312"/>
                <w:i w:val="0"/>
                <w:iCs w:val="0"/>
                <w:color w:val="000000"/>
                <w:sz w:val="13"/>
                <w:szCs w:val="13"/>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仿宋_GB2312"/>
                <w:i w:val="0"/>
                <w:iCs w:val="0"/>
                <w:color w:val="000000"/>
                <w:sz w:val="13"/>
                <w:szCs w:val="13"/>
                <w:u w:val="none"/>
              </w:rPr>
            </w:pPr>
            <w:r>
              <w:rPr>
                <w:rFonts w:hint="default" w:ascii="Times New Roman" w:hAnsi="Times New Roman" w:eastAsia="仿宋_GB2312" w:cs="仿宋_GB2312"/>
                <w:i w:val="0"/>
                <w:iCs w:val="0"/>
                <w:color w:val="000000"/>
                <w:kern w:val="0"/>
                <w:sz w:val="13"/>
                <w:szCs w:val="13"/>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jc w:val="center"/>
        </w:trPr>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7</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011400000030000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药品集中配置费</w:t>
            </w:r>
            <w:r>
              <w:rPr>
                <w:rFonts w:hint="eastAsia" w:ascii="Times New Roman" w:hAnsi="Times New Roman" w:eastAsia="宋体" w:cs="宋体"/>
                <w:i w:val="0"/>
                <w:iCs w:val="0"/>
                <w:color w:val="000000"/>
                <w:kern w:val="0"/>
                <w:sz w:val="18"/>
                <w:szCs w:val="18"/>
                <w:u w:val="none"/>
                <w:lang w:val="en-US" w:eastAsia="zh-CN" w:bidi="ar"/>
              </w:rPr>
              <w:br w:type="textWrapping"/>
            </w:r>
            <w:r>
              <w:rPr>
                <w:rFonts w:hint="eastAsia" w:ascii="Times New Roman" w:hAnsi="Times New Roman" w:eastAsia="宋体" w:cs="宋体"/>
                <w:i w:val="0"/>
                <w:iCs w:val="0"/>
                <w:color w:val="000000"/>
                <w:kern w:val="0"/>
                <w:sz w:val="18"/>
                <w:szCs w:val="18"/>
                <w:u w:val="none"/>
                <w:lang w:val="en-US" w:eastAsia="zh-CN" w:bidi="ar"/>
              </w:rPr>
              <w:t>（危害药品）</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按操作规范要求，在静脉药物配置中心集中配置危害药品。</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所定价格涵盖处方审核、药液配置、成品封装等步骤所需的人力资源和基本物质资源消耗。</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组</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20.0 </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18.2 </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17.3 </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16.4</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3"/>
                <w:szCs w:val="13"/>
                <w:u w:val="none"/>
              </w:rPr>
            </w:pPr>
            <w:r>
              <w:rPr>
                <w:rFonts w:hint="eastAsia" w:ascii="Times New Roman" w:hAnsi="Times New Roman" w:eastAsia="宋体" w:cs="宋体"/>
                <w:i w:val="0"/>
                <w:iCs w:val="0"/>
                <w:color w:val="000000"/>
                <w:kern w:val="0"/>
                <w:sz w:val="13"/>
                <w:szCs w:val="13"/>
                <w:u w:val="none"/>
                <w:lang w:val="en-US" w:eastAsia="zh-CN" w:bidi="ar"/>
              </w:rPr>
              <w:t>甲类</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仿宋_GB2312"/>
                <w:i w:val="0"/>
                <w:iCs w:val="0"/>
                <w:color w:val="000000"/>
                <w:sz w:val="13"/>
                <w:szCs w:val="13"/>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仿宋_GB2312"/>
                <w:i w:val="0"/>
                <w:iCs w:val="0"/>
                <w:color w:val="000000"/>
                <w:sz w:val="13"/>
                <w:szCs w:val="13"/>
                <w:u w:val="none"/>
              </w:rPr>
            </w:pPr>
            <w:r>
              <w:rPr>
                <w:rFonts w:hint="default" w:ascii="Times New Roman" w:hAnsi="Times New Roman" w:eastAsia="仿宋_GB2312" w:cs="仿宋_GB2312"/>
                <w:i w:val="0"/>
                <w:iCs w:val="0"/>
                <w:color w:val="000000"/>
                <w:kern w:val="0"/>
                <w:sz w:val="13"/>
                <w:szCs w:val="13"/>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0" w:hRule="atLeast"/>
          <w:jc w:val="center"/>
        </w:trPr>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8</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011400000040000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药物浓度测定费</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通过各种方式测量待测药物或其代谢物在样本中的具体浓度。</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所定价格涵盖样本签收、处理、定标、质控、检测、审核、登记录入、发送报告等步骤所需的人力资源和基本物质资源消耗。</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每种药物</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免疫抑制药物浓度测定加收50%。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120.0</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109.1 </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103.6 </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98.2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3"/>
                <w:szCs w:val="13"/>
                <w:u w:val="none"/>
              </w:rPr>
            </w:pPr>
            <w:r>
              <w:rPr>
                <w:rFonts w:hint="eastAsia" w:ascii="Times New Roman" w:hAnsi="Times New Roman" w:eastAsia="宋体" w:cs="宋体"/>
                <w:i w:val="0"/>
                <w:iCs w:val="0"/>
                <w:color w:val="000000"/>
                <w:kern w:val="0"/>
                <w:sz w:val="13"/>
                <w:szCs w:val="13"/>
                <w:u w:val="none"/>
                <w:lang w:val="en-US" w:eastAsia="zh-CN" w:bidi="ar"/>
              </w:rPr>
              <w:t>甲类</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仿宋_GB2312"/>
                <w:i w:val="0"/>
                <w:iCs w:val="0"/>
                <w:color w:val="000000"/>
                <w:sz w:val="13"/>
                <w:szCs w:val="13"/>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仿宋_GB2312"/>
                <w:i w:val="0"/>
                <w:iCs w:val="0"/>
                <w:color w:val="000000"/>
                <w:sz w:val="13"/>
                <w:szCs w:val="13"/>
                <w:u w:val="none"/>
              </w:rPr>
            </w:pPr>
            <w:r>
              <w:rPr>
                <w:rFonts w:hint="default" w:ascii="Times New Roman" w:hAnsi="Times New Roman" w:eastAsia="仿宋_GB2312" w:cs="仿宋_GB2312"/>
                <w:i w:val="0"/>
                <w:iCs w:val="0"/>
                <w:color w:val="000000"/>
                <w:kern w:val="0"/>
                <w:sz w:val="13"/>
                <w:szCs w:val="13"/>
                <w:u w:val="none"/>
                <w:lang w:val="en-US" w:eastAsia="zh-CN" w:bidi="ar"/>
              </w:rPr>
              <w:t>化验费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4" w:hRule="atLeast"/>
          <w:jc w:val="center"/>
        </w:trPr>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9</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011400000050000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中药临方加工费</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根据处方要求，将中药饮片制备成符合临床要求、便于服用的特定剂型。</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所定价格涵盖信息核对、处方审核、中药制备、剂量分装、粘贴标签、清点核对等步骤所需的人力资源和基本物质资源消耗。</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每百克</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1.本项目所称的“特定剂型”包括但不限于膏剂、合剂、胶囊剂、片剂、丸剂、酒剂、散剂、颗粒剂等行业主管部门准许医疗机构自行制备的中药剂型。</w:t>
            </w:r>
            <w:r>
              <w:rPr>
                <w:rFonts w:hint="eastAsia" w:ascii="Times New Roman" w:hAnsi="Times New Roman" w:eastAsia="宋体" w:cs="宋体"/>
                <w:i w:val="0"/>
                <w:iCs w:val="0"/>
                <w:color w:val="000000"/>
                <w:kern w:val="0"/>
                <w:sz w:val="18"/>
                <w:szCs w:val="18"/>
                <w:u w:val="none"/>
                <w:lang w:val="en-US" w:eastAsia="zh-CN" w:bidi="ar"/>
              </w:rPr>
              <w:br w:type="textWrapping"/>
            </w:r>
            <w:r>
              <w:rPr>
                <w:rFonts w:hint="eastAsia" w:ascii="Times New Roman" w:hAnsi="Times New Roman" w:eastAsia="宋体" w:cs="宋体"/>
                <w:i w:val="0"/>
                <w:iCs w:val="0"/>
                <w:color w:val="000000"/>
                <w:kern w:val="0"/>
                <w:sz w:val="18"/>
                <w:szCs w:val="18"/>
                <w:u w:val="none"/>
                <w:lang w:val="en-US" w:eastAsia="zh-CN" w:bidi="ar"/>
              </w:rPr>
              <w:t>2.计价单位“每百克”以处方的中药饮片重量计，不含赋形剂重量。不足百克按百克计算。</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14.0 </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12.7</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12.1 </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11.4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3"/>
                <w:szCs w:val="13"/>
                <w:u w:val="none"/>
              </w:rPr>
            </w:pPr>
            <w:r>
              <w:rPr>
                <w:rFonts w:hint="eastAsia" w:ascii="Times New Roman" w:hAnsi="Times New Roman" w:eastAsia="宋体" w:cs="宋体"/>
                <w:i w:val="0"/>
                <w:iCs w:val="0"/>
                <w:color w:val="000000"/>
                <w:kern w:val="0"/>
                <w:sz w:val="13"/>
                <w:szCs w:val="13"/>
                <w:u w:val="none"/>
                <w:lang w:val="en-US" w:eastAsia="zh-CN" w:bidi="ar"/>
              </w:rPr>
              <w:t>自费</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仿宋_GB2312"/>
                <w:i w:val="0"/>
                <w:iCs w:val="0"/>
                <w:color w:val="000000"/>
                <w:sz w:val="13"/>
                <w:szCs w:val="13"/>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仿宋_GB2312"/>
                <w:i w:val="0"/>
                <w:iCs w:val="0"/>
                <w:color w:val="000000"/>
                <w:sz w:val="13"/>
                <w:szCs w:val="13"/>
                <w:u w:val="none"/>
              </w:rPr>
            </w:pPr>
            <w:r>
              <w:rPr>
                <w:rFonts w:hint="default" w:ascii="Times New Roman" w:hAnsi="Times New Roman" w:eastAsia="仿宋_GB2312" w:cs="仿宋_GB2312"/>
                <w:i w:val="0"/>
                <w:iCs w:val="0"/>
                <w:color w:val="000000"/>
                <w:kern w:val="0"/>
                <w:sz w:val="13"/>
                <w:szCs w:val="13"/>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99" w:hRule="atLeast"/>
          <w:jc w:val="center"/>
        </w:trPr>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10</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011400000060000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中药代煎服务费</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通过浸泡、煎煮等各种方式，将中药饮片加工成可直接服用的药液独立包装。</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所定价格涵盖信息核对、处方审核、煎煮、合并、分装、粘贴标签、清点核对等步骤所需的人力资源和基本物质资源消耗。</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付</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5.0 </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4.5</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4.3 </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4.1</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3"/>
                <w:szCs w:val="13"/>
                <w:u w:val="none"/>
              </w:rPr>
            </w:pPr>
            <w:r>
              <w:rPr>
                <w:rFonts w:hint="eastAsia" w:ascii="Times New Roman" w:hAnsi="Times New Roman" w:eastAsia="宋体" w:cs="宋体"/>
                <w:i w:val="0"/>
                <w:iCs w:val="0"/>
                <w:color w:val="000000"/>
                <w:kern w:val="0"/>
                <w:sz w:val="13"/>
                <w:szCs w:val="13"/>
                <w:u w:val="none"/>
                <w:lang w:val="en-US" w:eastAsia="zh-CN" w:bidi="ar"/>
              </w:rPr>
              <w:t>甲类</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仿宋_GB2312"/>
                <w:i w:val="0"/>
                <w:iCs w:val="0"/>
                <w:color w:val="000000"/>
                <w:sz w:val="13"/>
                <w:szCs w:val="13"/>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仿宋_GB2312"/>
                <w:i w:val="0"/>
                <w:iCs w:val="0"/>
                <w:color w:val="000000"/>
                <w:sz w:val="13"/>
                <w:szCs w:val="13"/>
                <w:u w:val="none"/>
              </w:rPr>
            </w:pPr>
            <w:r>
              <w:rPr>
                <w:rFonts w:hint="default" w:ascii="Times New Roman" w:hAnsi="Times New Roman" w:eastAsia="仿宋_GB2312" w:cs="仿宋_GB2312"/>
                <w:i w:val="0"/>
                <w:iCs w:val="0"/>
                <w:color w:val="000000"/>
                <w:kern w:val="0"/>
                <w:sz w:val="13"/>
                <w:szCs w:val="13"/>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0" w:hRule="atLeast"/>
          <w:jc w:val="center"/>
        </w:trPr>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11</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011400000070000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中药配方颗粒调剂费</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根据处方要求，将多味中药配方颗粒进行调剂，制成供直接冲泡服用的包装。</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所定价格涵盖信息核对、处方审核、逐味调剂、包装、粘贴标签、清点核对等步骤所需的人力资源和基本物质资源消耗。</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付</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中药配方颗粒实行零加成政策后，可收取此项费用。</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4.0 </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4.0 </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4.0 </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4.0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3"/>
                <w:szCs w:val="13"/>
                <w:u w:val="none"/>
              </w:rPr>
            </w:pPr>
            <w:r>
              <w:rPr>
                <w:rFonts w:hint="eastAsia" w:ascii="Times New Roman" w:hAnsi="Times New Roman" w:eastAsia="宋体" w:cs="宋体"/>
                <w:i w:val="0"/>
                <w:iCs w:val="0"/>
                <w:color w:val="000000"/>
                <w:kern w:val="0"/>
                <w:sz w:val="13"/>
                <w:szCs w:val="13"/>
                <w:u w:val="none"/>
                <w:lang w:val="en-US" w:eastAsia="zh-CN" w:bidi="ar"/>
              </w:rPr>
              <w:t>自费</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仿宋_GB2312"/>
                <w:i w:val="0"/>
                <w:iCs w:val="0"/>
                <w:color w:val="000000"/>
                <w:sz w:val="13"/>
                <w:szCs w:val="13"/>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仿宋_GB2312"/>
                <w:i w:val="0"/>
                <w:iCs w:val="0"/>
                <w:color w:val="000000"/>
                <w:sz w:val="13"/>
                <w:szCs w:val="13"/>
                <w:u w:val="none"/>
              </w:rPr>
            </w:pPr>
            <w:r>
              <w:rPr>
                <w:rFonts w:hint="default" w:ascii="Times New Roman" w:hAnsi="Times New Roman" w:eastAsia="仿宋_GB2312" w:cs="仿宋_GB2312"/>
                <w:i w:val="0"/>
                <w:iCs w:val="0"/>
                <w:color w:val="000000"/>
                <w:kern w:val="0"/>
                <w:sz w:val="13"/>
                <w:szCs w:val="13"/>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0" w:hRule="atLeast"/>
          <w:jc w:val="center"/>
        </w:trPr>
        <w:tc>
          <w:tcPr>
            <w:tcW w:w="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12</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011400000080000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放射性药物配置费</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按操作规范要求对放射性药物（核素药物）进行分装。</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所定价格涵盖处方审核、药物配置、成品封装等步骤以及必要防护所需的人力资源和基本物质资源消耗。</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组</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100.0</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90.9 </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86.4 </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 xml:space="preserve">81.8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3"/>
                <w:szCs w:val="13"/>
                <w:u w:val="none"/>
              </w:rPr>
            </w:pPr>
            <w:r>
              <w:rPr>
                <w:rFonts w:hint="eastAsia" w:ascii="Times New Roman" w:hAnsi="Times New Roman" w:eastAsia="宋体" w:cs="宋体"/>
                <w:i w:val="0"/>
                <w:iCs w:val="0"/>
                <w:color w:val="000000"/>
                <w:kern w:val="0"/>
                <w:sz w:val="13"/>
                <w:szCs w:val="13"/>
                <w:u w:val="none"/>
                <w:lang w:val="en-US" w:eastAsia="zh-CN" w:bidi="ar"/>
              </w:rPr>
              <w:t>自费</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仿宋_GB2312"/>
                <w:i w:val="0"/>
                <w:iCs w:val="0"/>
                <w:color w:val="000000"/>
                <w:sz w:val="13"/>
                <w:szCs w:val="13"/>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仿宋_GB2312"/>
                <w:i w:val="0"/>
                <w:iCs w:val="0"/>
                <w:color w:val="000000"/>
                <w:sz w:val="13"/>
                <w:szCs w:val="13"/>
                <w:u w:val="none"/>
              </w:rPr>
            </w:pPr>
            <w:r>
              <w:rPr>
                <w:rFonts w:hint="default" w:ascii="Times New Roman" w:hAnsi="Times New Roman" w:eastAsia="仿宋_GB2312" w:cs="仿宋_GB2312"/>
                <w:i w:val="0"/>
                <w:iCs w:val="0"/>
                <w:color w:val="000000"/>
                <w:kern w:val="0"/>
                <w:sz w:val="13"/>
                <w:szCs w:val="13"/>
                <w:u w:val="none"/>
                <w:lang w:val="en-US" w:eastAsia="zh-CN" w:bidi="ar"/>
              </w:rPr>
              <w:t>治疗费</w:t>
            </w:r>
          </w:p>
        </w:tc>
      </w:tr>
    </w:tbl>
    <w:p>
      <w:pPr>
        <w:spacing w:line="0" w:lineRule="atLeast"/>
        <w:rPr>
          <w:rFonts w:ascii="Times New Roman" w:hAnsi="Times New Roman"/>
        </w:rPr>
        <w:sectPr>
          <w:pgSz w:w="16838" w:h="11905" w:orient="landscape"/>
          <w:pgMar w:top="1962" w:right="1474" w:bottom="1848" w:left="1587" w:header="851" w:footer="992" w:gutter="0"/>
          <w:pgNumType w:fmt="numberInDash"/>
          <w:cols w:space="720" w:num="1"/>
          <w:docGrid w:type="lines" w:linePitch="333" w:charSpace="0"/>
        </w:sectPr>
      </w:pPr>
    </w:p>
    <w:p>
      <w:pPr>
        <w:rPr>
          <w:rFonts w:hint="eastAsia" w:ascii="Times New Roman" w:hAnsi="Times New Roman" w:eastAsia="方正黑体_GBK" w:cs="方正黑体_GBK"/>
          <w:sz w:val="32"/>
          <w:szCs w:val="32"/>
          <w:lang w:val="en-US" w:eastAsia="zh-CN"/>
        </w:rPr>
      </w:pPr>
      <w:r>
        <w:rPr>
          <w:rFonts w:hint="eastAsia" w:ascii="Times New Roman" w:hAnsi="Times New Roman" w:eastAsia="方正黑体_GBK" w:cs="方正黑体_GBK"/>
          <w:sz w:val="32"/>
          <w:szCs w:val="32"/>
          <w:lang w:val="en-US" w:eastAsia="zh-CN"/>
        </w:rPr>
        <w:t>附件2</w:t>
      </w:r>
    </w:p>
    <w:p>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rPr>
          <w:rFonts w:hint="eastAsia" w:ascii="方正小标宋_GBK" w:hAnsi="方正小标宋_GBK" w:eastAsia="方正小标宋_GBK" w:cs="方正小标宋_GBK"/>
          <w:snapToGrid w:val="0"/>
          <w:kern w:val="0"/>
          <w:sz w:val="44"/>
          <w:szCs w:val="44"/>
          <w:shd w:val="clear" w:color="auto" w:fill="FFFFFF"/>
          <w:lang w:bidi="ar"/>
        </w:rPr>
      </w:pPr>
      <w:r>
        <w:rPr>
          <w:rFonts w:hint="eastAsia" w:ascii="方正小标宋_GBK" w:hAnsi="方正小标宋_GBK" w:eastAsia="方正小标宋_GBK" w:cs="方正小标宋_GBK"/>
          <w:snapToGrid w:val="0"/>
          <w:kern w:val="0"/>
          <w:sz w:val="44"/>
          <w:szCs w:val="44"/>
          <w:shd w:val="clear" w:color="auto" w:fill="FFFFFF"/>
          <w:lang w:bidi="ar"/>
        </w:rPr>
        <w:t>停用</w:t>
      </w:r>
      <w:r>
        <w:rPr>
          <w:rFonts w:hint="eastAsia" w:ascii="方正小标宋_GBK" w:hAnsi="方正小标宋_GBK" w:eastAsia="方正小标宋_GBK" w:cs="方正小标宋_GBK"/>
          <w:snapToGrid w:val="0"/>
          <w:kern w:val="0"/>
          <w:sz w:val="44"/>
          <w:szCs w:val="44"/>
          <w:shd w:val="clear" w:color="auto" w:fill="FFFFFF"/>
          <w:lang w:eastAsia="zh-CN" w:bidi="ar"/>
        </w:rPr>
        <w:t>血清药物浓度测定</w:t>
      </w:r>
      <w:r>
        <w:rPr>
          <w:rFonts w:hint="eastAsia" w:ascii="方正小标宋_GBK" w:hAnsi="方正小标宋_GBK" w:eastAsia="方正小标宋_GBK" w:cs="方正小标宋_GBK"/>
          <w:snapToGrid w:val="0"/>
          <w:kern w:val="0"/>
          <w:sz w:val="44"/>
          <w:szCs w:val="44"/>
          <w:shd w:val="clear" w:color="auto" w:fill="FFFFFF"/>
          <w:lang w:bidi="ar"/>
        </w:rPr>
        <w:t>等医疗服务价格项目表</w:t>
      </w:r>
    </w:p>
    <w:tbl>
      <w:tblPr>
        <w:tblStyle w:val="8"/>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0"/>
        <w:gridCol w:w="1506"/>
        <w:gridCol w:w="3619"/>
        <w:gridCol w:w="32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3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方正黑体_GBK" w:cs="方正黑体_GBK"/>
                <w:b w:val="0"/>
                <w:bCs w:val="0"/>
                <w:i w:val="0"/>
                <w:iCs w:val="0"/>
                <w:color w:val="000000"/>
                <w:sz w:val="21"/>
                <w:szCs w:val="21"/>
                <w:u w:val="none"/>
              </w:rPr>
            </w:pPr>
            <w:r>
              <w:rPr>
                <w:rFonts w:hint="eastAsia" w:ascii="Times New Roman" w:hAnsi="Times New Roman" w:eastAsia="方正黑体_GBK" w:cs="方正黑体_GBK"/>
                <w:b w:val="0"/>
                <w:bCs w:val="0"/>
                <w:i w:val="0"/>
                <w:iCs w:val="0"/>
                <w:color w:val="000000"/>
                <w:kern w:val="0"/>
                <w:sz w:val="21"/>
                <w:szCs w:val="21"/>
                <w:u w:val="none"/>
                <w:lang w:val="en-US" w:eastAsia="zh-CN" w:bidi="ar"/>
              </w:rPr>
              <w:t>序号</w:t>
            </w:r>
          </w:p>
        </w:tc>
        <w:tc>
          <w:tcPr>
            <w:tcW w:w="85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方正黑体_GBK" w:cs="方正黑体_GBK"/>
                <w:b w:val="0"/>
                <w:bCs w:val="0"/>
                <w:i w:val="0"/>
                <w:iCs w:val="0"/>
                <w:color w:val="000000"/>
                <w:sz w:val="21"/>
                <w:szCs w:val="21"/>
                <w:u w:val="none"/>
              </w:rPr>
            </w:pPr>
            <w:r>
              <w:rPr>
                <w:rFonts w:hint="eastAsia" w:ascii="Times New Roman" w:hAnsi="Times New Roman" w:eastAsia="方正黑体_GBK" w:cs="方正黑体_GBK"/>
                <w:b w:val="0"/>
                <w:bCs w:val="0"/>
                <w:i w:val="0"/>
                <w:iCs w:val="0"/>
                <w:color w:val="000000"/>
                <w:kern w:val="0"/>
                <w:sz w:val="21"/>
                <w:szCs w:val="21"/>
                <w:u w:val="none"/>
                <w:lang w:val="en-US" w:eastAsia="zh-CN" w:bidi="ar"/>
              </w:rPr>
              <w:t>项目编码</w:t>
            </w:r>
          </w:p>
        </w:tc>
        <w:tc>
          <w:tcPr>
            <w:tcW w:w="20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方正黑体_GBK" w:cs="方正黑体_GBK"/>
                <w:b w:val="0"/>
                <w:bCs w:val="0"/>
                <w:i w:val="0"/>
                <w:iCs w:val="0"/>
                <w:color w:val="000000"/>
                <w:sz w:val="21"/>
                <w:szCs w:val="21"/>
                <w:u w:val="none"/>
              </w:rPr>
            </w:pPr>
            <w:r>
              <w:rPr>
                <w:rFonts w:hint="eastAsia" w:ascii="Times New Roman" w:hAnsi="Times New Roman" w:eastAsia="方正黑体_GBK" w:cs="方正黑体_GBK"/>
                <w:b w:val="0"/>
                <w:bCs w:val="0"/>
                <w:i w:val="0"/>
                <w:iCs w:val="0"/>
                <w:color w:val="000000"/>
                <w:kern w:val="0"/>
                <w:sz w:val="21"/>
                <w:szCs w:val="21"/>
                <w:u w:val="none"/>
                <w:lang w:val="en-US" w:eastAsia="zh-CN" w:bidi="ar"/>
              </w:rPr>
              <w:t>项目名称</w:t>
            </w:r>
          </w:p>
        </w:tc>
        <w:tc>
          <w:tcPr>
            <w:tcW w:w="169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方正黑体_GBK" w:cs="方正黑体_GBK"/>
                <w:b w:val="0"/>
                <w:bCs w:val="0"/>
                <w:i w:val="0"/>
                <w:iCs w:val="0"/>
                <w:color w:val="000000"/>
                <w:sz w:val="21"/>
                <w:szCs w:val="21"/>
                <w:u w:val="none"/>
              </w:rPr>
            </w:pPr>
            <w:r>
              <w:rPr>
                <w:rFonts w:hint="eastAsia" w:ascii="Times New Roman" w:hAnsi="Times New Roman" w:eastAsia="方正黑体_GBK" w:cs="方正黑体_GBK"/>
                <w:b w:val="0"/>
                <w:bCs w:val="0"/>
                <w:i w:val="0"/>
                <w:iCs w:val="0"/>
                <w:color w:val="000000"/>
                <w:kern w:val="0"/>
                <w:sz w:val="21"/>
                <w:szCs w:val="21"/>
                <w:u w:val="none"/>
                <w:lang w:val="en-US" w:eastAsia="zh-CN" w:bidi="ar"/>
              </w:rPr>
              <w:t>国家项目编码（结算）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3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60" w:lineRule="exact"/>
              <w:jc w:val="center"/>
              <w:rPr>
                <w:rFonts w:hint="eastAsia" w:ascii="Times New Roman" w:hAnsi="Times New Roman" w:eastAsia="宋体" w:cs="宋体"/>
                <w:b/>
                <w:bCs/>
                <w:i w:val="0"/>
                <w:iCs w:val="0"/>
                <w:color w:val="000000"/>
                <w:sz w:val="21"/>
                <w:szCs w:val="21"/>
                <w:u w:val="none"/>
              </w:rPr>
            </w:pPr>
          </w:p>
        </w:tc>
        <w:tc>
          <w:tcPr>
            <w:tcW w:w="8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60" w:lineRule="exact"/>
              <w:jc w:val="center"/>
              <w:rPr>
                <w:rFonts w:hint="eastAsia" w:ascii="Times New Roman" w:hAnsi="Times New Roman" w:eastAsia="宋体" w:cs="宋体"/>
                <w:b/>
                <w:bCs/>
                <w:i w:val="0"/>
                <w:iCs w:val="0"/>
                <w:color w:val="000000"/>
                <w:sz w:val="21"/>
                <w:szCs w:val="21"/>
                <w:u w:val="none"/>
              </w:rPr>
            </w:pPr>
          </w:p>
        </w:tc>
        <w:tc>
          <w:tcPr>
            <w:tcW w:w="20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60" w:lineRule="exact"/>
              <w:jc w:val="center"/>
              <w:rPr>
                <w:rFonts w:hint="eastAsia" w:ascii="Times New Roman" w:hAnsi="Times New Roman" w:eastAsia="宋体" w:cs="宋体"/>
                <w:b/>
                <w:bCs/>
                <w:i w:val="0"/>
                <w:iCs w:val="0"/>
                <w:color w:val="000000"/>
                <w:sz w:val="21"/>
                <w:szCs w:val="21"/>
                <w:u w:val="none"/>
              </w:rPr>
            </w:pPr>
          </w:p>
        </w:tc>
        <w:tc>
          <w:tcPr>
            <w:tcW w:w="16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60" w:lineRule="exact"/>
              <w:jc w:val="center"/>
              <w:rPr>
                <w:rFonts w:hint="eastAsia" w:ascii="Times New Roman" w:hAnsi="Times New Roman"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1</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111200001c</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普通药师药学门诊诊察费（三级医疗机构）</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501102000080000—111200001c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2</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111200002c</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副主任药师药学门诊诊察费（三级医疗机构）</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501102000080000—111200002c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3</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111200003c</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主任药师药学门诊诊察费（三级医疗机构）</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501102000080000—111200003c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4</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AAAD0001.01</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住院诊察费（临床药学收取）</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001102000050000—AAAD0001.01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5</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ABCJ0001</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抗肿瘤化疗药物/肠外营养液集中配置</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001204000130000-ABCJ0001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6</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ABCJ0001.01</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抗肿瘤化疗药物/肠外营养液集中配置</w:t>
            </w:r>
            <w:r>
              <w:rPr>
                <w:rFonts w:hint="eastAsia" w:ascii="Times New Roman" w:hAnsi="Times New Roman" w:eastAsia="方正仿宋_GB2312" w:cs="方正仿宋_GB2312"/>
                <w:i w:val="0"/>
                <w:iCs w:val="0"/>
                <w:color w:val="000000"/>
                <w:kern w:val="0"/>
                <w:sz w:val="21"/>
                <w:szCs w:val="21"/>
                <w:u w:val="none"/>
                <w:lang w:val="en-US" w:eastAsia="zh-CN" w:bidi="ar"/>
              </w:rPr>
              <w:t>（</w:t>
            </w:r>
            <w:r>
              <w:rPr>
                <w:rFonts w:hint="default" w:ascii="Times New Roman" w:hAnsi="Times New Roman" w:eastAsia="方正仿宋_GB2312" w:cs="方正仿宋_GB2312"/>
                <w:i w:val="0"/>
                <w:iCs w:val="0"/>
                <w:color w:val="000000"/>
                <w:kern w:val="0"/>
                <w:sz w:val="21"/>
                <w:szCs w:val="21"/>
                <w:u w:val="none"/>
                <w:lang w:val="en-US" w:eastAsia="zh-CN" w:bidi="ar"/>
              </w:rPr>
              <w:t>儿童加收</w:t>
            </w:r>
            <w:r>
              <w:rPr>
                <w:rFonts w:hint="eastAsia" w:ascii="Times New Roman" w:hAnsi="Times New Roman" w:eastAsia="方正仿宋_GB2312" w:cs="方正仿宋_GB2312"/>
                <w:i w:val="0"/>
                <w:iCs w:val="0"/>
                <w:color w:val="000000"/>
                <w:kern w:val="0"/>
                <w:sz w:val="21"/>
                <w:szCs w:val="21"/>
                <w:u w:val="none"/>
                <w:lang w:val="en-US" w:eastAsia="zh-CN" w:bidi="ar"/>
              </w:rPr>
              <w:t>）</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001204000130000-ABCJ0001.01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7</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333333"/>
                <w:sz w:val="21"/>
                <w:szCs w:val="21"/>
                <w:u w:val="none"/>
              </w:rPr>
            </w:pPr>
            <w:r>
              <w:rPr>
                <w:rFonts w:hint="eastAsia" w:ascii="Times New Roman" w:hAnsi="Times New Roman" w:eastAsia="宋体" w:cs="宋体"/>
                <w:i w:val="0"/>
                <w:iCs w:val="0"/>
                <w:color w:val="333333"/>
                <w:kern w:val="0"/>
                <w:sz w:val="21"/>
                <w:szCs w:val="21"/>
                <w:u w:val="none"/>
                <w:lang w:val="en-US" w:eastAsia="zh-CN" w:bidi="ar"/>
              </w:rPr>
              <w:t>250309005</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333333"/>
                <w:sz w:val="21"/>
                <w:szCs w:val="21"/>
                <w:u w:val="none"/>
              </w:rPr>
            </w:pPr>
            <w:r>
              <w:rPr>
                <w:rFonts w:hint="eastAsia" w:ascii="Times New Roman" w:hAnsi="Times New Roman" w:eastAsia="宋体" w:cs="宋体"/>
                <w:i w:val="0"/>
                <w:iCs w:val="0"/>
                <w:color w:val="333333"/>
                <w:kern w:val="0"/>
                <w:sz w:val="21"/>
                <w:szCs w:val="21"/>
                <w:u w:val="none"/>
                <w:lang w:val="en-US" w:eastAsia="zh-CN" w:bidi="ar"/>
              </w:rPr>
              <w:t>血清药物浓度测定</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002503090050000-250309005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8</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250309005.01</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血清药物浓度测定</w:t>
            </w:r>
            <w:r>
              <w:rPr>
                <w:rFonts w:hint="eastAsia" w:ascii="Times New Roman" w:hAnsi="Times New Roman" w:eastAsia="方正仿宋_GB2312" w:cs="方正仿宋_GB2312"/>
                <w:i w:val="0"/>
                <w:iCs w:val="0"/>
                <w:color w:val="000000"/>
                <w:kern w:val="0"/>
                <w:sz w:val="21"/>
                <w:szCs w:val="21"/>
                <w:u w:val="none"/>
                <w:lang w:val="en-US" w:eastAsia="zh-CN" w:bidi="ar"/>
              </w:rPr>
              <w:t>（</w:t>
            </w:r>
            <w:r>
              <w:rPr>
                <w:rFonts w:hint="default" w:ascii="Times New Roman" w:hAnsi="Times New Roman" w:eastAsia="方正仿宋_GB2312" w:cs="方正仿宋_GB2312"/>
                <w:i w:val="0"/>
                <w:iCs w:val="0"/>
                <w:color w:val="000000"/>
                <w:kern w:val="0"/>
                <w:sz w:val="21"/>
                <w:szCs w:val="21"/>
                <w:u w:val="none"/>
                <w:lang w:val="en-US" w:eastAsia="zh-CN" w:bidi="ar"/>
              </w:rPr>
              <w:t>普乐可复</w:t>
            </w:r>
            <w:r>
              <w:rPr>
                <w:rFonts w:hint="eastAsia" w:ascii="Times New Roman" w:hAnsi="Times New Roman" w:eastAsia="方正仿宋_GB2312" w:cs="方正仿宋_GB2312"/>
                <w:i w:val="0"/>
                <w:iCs w:val="0"/>
                <w:color w:val="000000"/>
                <w:kern w:val="0"/>
                <w:sz w:val="21"/>
                <w:szCs w:val="21"/>
                <w:u w:val="none"/>
                <w:lang w:val="en-US" w:eastAsia="zh-CN" w:bidi="ar"/>
              </w:rPr>
              <w:t>（</w:t>
            </w:r>
            <w:r>
              <w:rPr>
                <w:rFonts w:hint="default" w:ascii="Times New Roman" w:hAnsi="Times New Roman" w:eastAsia="方正仿宋_GB2312" w:cs="方正仿宋_GB2312"/>
                <w:i w:val="0"/>
                <w:iCs w:val="0"/>
                <w:color w:val="000000"/>
                <w:kern w:val="0"/>
                <w:sz w:val="21"/>
                <w:szCs w:val="21"/>
                <w:u w:val="none"/>
                <w:lang w:val="en-US" w:eastAsia="zh-CN" w:bidi="ar"/>
              </w:rPr>
              <w:t>FK-506</w:t>
            </w:r>
            <w:r>
              <w:rPr>
                <w:rFonts w:hint="eastAsia" w:ascii="Times New Roman" w:hAnsi="Times New Roman" w:eastAsia="方正仿宋_GB2312" w:cs="方正仿宋_GB2312"/>
                <w:i w:val="0"/>
                <w:iCs w:val="0"/>
                <w:color w:val="000000"/>
                <w:kern w:val="0"/>
                <w:sz w:val="21"/>
                <w:szCs w:val="21"/>
                <w:u w:val="none"/>
                <w:lang w:val="en-US" w:eastAsia="zh-CN" w:bidi="ar"/>
              </w:rPr>
              <w:t>）</w:t>
            </w:r>
            <w:r>
              <w:rPr>
                <w:rFonts w:hint="default" w:ascii="Times New Roman" w:hAnsi="Times New Roman" w:eastAsia="方正仿宋_GB2312" w:cs="方正仿宋_GB2312"/>
                <w:i w:val="0"/>
                <w:iCs w:val="0"/>
                <w:color w:val="000000"/>
                <w:kern w:val="0"/>
                <w:sz w:val="21"/>
                <w:szCs w:val="21"/>
                <w:u w:val="none"/>
                <w:lang w:val="en-US" w:eastAsia="zh-CN" w:bidi="ar"/>
              </w:rPr>
              <w:t>加收</w:t>
            </w:r>
            <w:r>
              <w:rPr>
                <w:rFonts w:hint="eastAsia" w:ascii="Times New Roman" w:hAnsi="Times New Roman" w:eastAsia="方正仿宋_GB2312" w:cs="方正仿宋_GB2312"/>
                <w:i w:val="0"/>
                <w:iCs w:val="0"/>
                <w:color w:val="000000"/>
                <w:kern w:val="0"/>
                <w:sz w:val="21"/>
                <w:szCs w:val="21"/>
                <w:u w:val="none"/>
                <w:lang w:val="en-US" w:eastAsia="zh-CN" w:bidi="ar"/>
              </w:rPr>
              <w:t>）</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002503090050000-250309005.01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9</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250309005.02</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血清药物浓度测定</w:t>
            </w:r>
            <w:r>
              <w:rPr>
                <w:rFonts w:hint="eastAsia" w:ascii="Times New Roman" w:hAnsi="Times New Roman" w:eastAsia="方正仿宋_GB2312" w:cs="方正仿宋_GB2312"/>
                <w:i w:val="0"/>
                <w:iCs w:val="0"/>
                <w:color w:val="000000"/>
                <w:kern w:val="0"/>
                <w:sz w:val="21"/>
                <w:szCs w:val="21"/>
                <w:u w:val="none"/>
                <w:lang w:val="en-US" w:eastAsia="zh-CN" w:bidi="ar"/>
              </w:rPr>
              <w:t>（</w:t>
            </w:r>
            <w:r>
              <w:rPr>
                <w:rFonts w:hint="default" w:ascii="Times New Roman" w:hAnsi="Times New Roman" w:eastAsia="方正仿宋_GB2312" w:cs="方正仿宋_GB2312"/>
                <w:i w:val="0"/>
                <w:iCs w:val="0"/>
                <w:color w:val="000000"/>
                <w:kern w:val="0"/>
                <w:sz w:val="21"/>
                <w:szCs w:val="21"/>
                <w:u w:val="none"/>
                <w:lang w:val="en-US" w:eastAsia="zh-CN" w:bidi="ar"/>
              </w:rPr>
              <w:t>酶酚酸加收</w:t>
            </w:r>
            <w:r>
              <w:rPr>
                <w:rFonts w:hint="eastAsia" w:ascii="Times New Roman" w:hAnsi="Times New Roman" w:eastAsia="方正仿宋_GB2312" w:cs="方正仿宋_GB2312"/>
                <w:i w:val="0"/>
                <w:iCs w:val="0"/>
                <w:color w:val="000000"/>
                <w:kern w:val="0"/>
                <w:sz w:val="21"/>
                <w:szCs w:val="21"/>
                <w:u w:val="none"/>
                <w:lang w:val="en-US" w:eastAsia="zh-CN" w:bidi="ar"/>
              </w:rPr>
              <w:t>）</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002503090050000-250309005.02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10</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250309005.03</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血清药物浓度测定</w:t>
            </w:r>
            <w:r>
              <w:rPr>
                <w:rFonts w:hint="eastAsia" w:ascii="Times New Roman" w:hAnsi="Times New Roman" w:eastAsia="方正仿宋_GB2312" w:cs="方正仿宋_GB2312"/>
                <w:i w:val="0"/>
                <w:iCs w:val="0"/>
                <w:color w:val="000000"/>
                <w:kern w:val="0"/>
                <w:sz w:val="21"/>
                <w:szCs w:val="21"/>
                <w:u w:val="none"/>
                <w:lang w:val="en-US" w:eastAsia="zh-CN" w:bidi="ar"/>
              </w:rPr>
              <w:t>（</w:t>
            </w:r>
            <w:r>
              <w:rPr>
                <w:rFonts w:hint="default" w:ascii="Times New Roman" w:hAnsi="Times New Roman" w:eastAsia="方正仿宋_GB2312" w:cs="方正仿宋_GB2312"/>
                <w:i w:val="0"/>
                <w:iCs w:val="0"/>
                <w:color w:val="000000"/>
                <w:kern w:val="0"/>
                <w:sz w:val="21"/>
                <w:szCs w:val="21"/>
                <w:u w:val="none"/>
                <w:lang w:val="en-US" w:eastAsia="zh-CN" w:bidi="ar"/>
              </w:rPr>
              <w:t>色谱法加收</w:t>
            </w:r>
            <w:r>
              <w:rPr>
                <w:rFonts w:hint="eastAsia" w:ascii="Times New Roman" w:hAnsi="Times New Roman" w:eastAsia="方正仿宋_GB2312" w:cs="方正仿宋_GB2312"/>
                <w:i w:val="0"/>
                <w:iCs w:val="0"/>
                <w:color w:val="000000"/>
                <w:kern w:val="0"/>
                <w:sz w:val="21"/>
                <w:szCs w:val="21"/>
                <w:u w:val="none"/>
                <w:lang w:val="en-US" w:eastAsia="zh-CN" w:bidi="ar"/>
              </w:rPr>
              <w:t>）</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002503090050200-250309005.03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11</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250309005.04</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血清药物浓度测定</w:t>
            </w:r>
            <w:r>
              <w:rPr>
                <w:rFonts w:hint="eastAsia" w:ascii="Times New Roman" w:hAnsi="Times New Roman" w:eastAsia="方正仿宋_GB2312" w:cs="方正仿宋_GB2312"/>
                <w:i w:val="0"/>
                <w:iCs w:val="0"/>
                <w:color w:val="000000"/>
                <w:kern w:val="0"/>
                <w:sz w:val="21"/>
                <w:szCs w:val="21"/>
                <w:u w:val="none"/>
                <w:lang w:val="en-US" w:eastAsia="zh-CN" w:bidi="ar"/>
              </w:rPr>
              <w:t>（</w:t>
            </w:r>
            <w:r>
              <w:rPr>
                <w:rFonts w:hint="default" w:ascii="Times New Roman" w:hAnsi="Times New Roman" w:eastAsia="方正仿宋_GB2312" w:cs="方正仿宋_GB2312"/>
                <w:i w:val="0"/>
                <w:iCs w:val="0"/>
                <w:color w:val="000000"/>
                <w:kern w:val="0"/>
                <w:sz w:val="21"/>
                <w:szCs w:val="21"/>
                <w:u w:val="none"/>
                <w:lang w:val="en-US" w:eastAsia="zh-CN" w:bidi="ar"/>
              </w:rPr>
              <w:t>荧光探针法加收</w:t>
            </w:r>
            <w:r>
              <w:rPr>
                <w:rFonts w:hint="eastAsia" w:ascii="Times New Roman" w:hAnsi="Times New Roman" w:eastAsia="方正仿宋_GB2312" w:cs="方正仿宋_GB2312"/>
                <w:i w:val="0"/>
                <w:iCs w:val="0"/>
                <w:color w:val="000000"/>
                <w:kern w:val="0"/>
                <w:sz w:val="21"/>
                <w:szCs w:val="21"/>
                <w:u w:val="none"/>
                <w:lang w:val="en-US" w:eastAsia="zh-CN" w:bidi="ar"/>
              </w:rPr>
              <w:t>）</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002503090050000-250309005.04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12</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250309005.05</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血清药物浓度测定</w:t>
            </w:r>
            <w:r>
              <w:rPr>
                <w:rFonts w:hint="eastAsia" w:ascii="Times New Roman" w:hAnsi="Times New Roman" w:eastAsia="方正仿宋_GB2312" w:cs="方正仿宋_GB2312"/>
                <w:i w:val="0"/>
                <w:iCs w:val="0"/>
                <w:color w:val="000000"/>
                <w:kern w:val="0"/>
                <w:sz w:val="21"/>
                <w:szCs w:val="21"/>
                <w:u w:val="none"/>
                <w:lang w:val="en-US" w:eastAsia="zh-CN" w:bidi="ar"/>
              </w:rPr>
              <w:t>（</w:t>
            </w:r>
            <w:r>
              <w:rPr>
                <w:rFonts w:hint="default" w:ascii="Times New Roman" w:hAnsi="Times New Roman" w:eastAsia="方正仿宋_GB2312" w:cs="方正仿宋_GB2312"/>
                <w:i w:val="0"/>
                <w:iCs w:val="0"/>
                <w:color w:val="000000"/>
                <w:kern w:val="0"/>
                <w:sz w:val="21"/>
                <w:szCs w:val="21"/>
                <w:u w:val="none"/>
                <w:lang w:val="en-US" w:eastAsia="zh-CN" w:bidi="ar"/>
              </w:rPr>
              <w:t>化学发光法加收</w:t>
            </w:r>
            <w:r>
              <w:rPr>
                <w:rFonts w:hint="eastAsia" w:ascii="Times New Roman" w:hAnsi="Times New Roman" w:eastAsia="方正仿宋_GB2312" w:cs="方正仿宋_GB2312"/>
                <w:i w:val="0"/>
                <w:iCs w:val="0"/>
                <w:color w:val="000000"/>
                <w:kern w:val="0"/>
                <w:sz w:val="21"/>
                <w:szCs w:val="21"/>
                <w:u w:val="none"/>
                <w:lang w:val="en-US" w:eastAsia="zh-CN" w:bidi="ar"/>
              </w:rPr>
              <w:t>）</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002503090050000-250309005.05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13</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250309005.06</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血清药物浓度测定</w:t>
            </w:r>
            <w:r>
              <w:rPr>
                <w:rFonts w:hint="eastAsia" w:ascii="Times New Roman" w:hAnsi="Times New Roman" w:eastAsia="方正仿宋_GB2312" w:cs="方正仿宋_GB2312"/>
                <w:i w:val="0"/>
                <w:iCs w:val="0"/>
                <w:color w:val="000000"/>
                <w:kern w:val="0"/>
                <w:sz w:val="21"/>
                <w:szCs w:val="21"/>
                <w:u w:val="none"/>
                <w:lang w:val="en-US" w:eastAsia="zh-CN" w:bidi="ar"/>
              </w:rPr>
              <w:t>（</w:t>
            </w:r>
            <w:r>
              <w:rPr>
                <w:rFonts w:hint="default" w:ascii="Times New Roman" w:hAnsi="Times New Roman" w:eastAsia="方正仿宋_GB2312" w:cs="方正仿宋_GB2312"/>
                <w:i w:val="0"/>
                <w:iCs w:val="0"/>
                <w:color w:val="000000"/>
                <w:kern w:val="0"/>
                <w:sz w:val="21"/>
                <w:szCs w:val="21"/>
                <w:u w:val="none"/>
                <w:lang w:val="en-US" w:eastAsia="zh-CN" w:bidi="ar"/>
              </w:rPr>
              <w:t>环孢霉素A测定加收</w:t>
            </w:r>
            <w:r>
              <w:rPr>
                <w:rFonts w:hint="eastAsia" w:ascii="Times New Roman" w:hAnsi="Times New Roman" w:eastAsia="方正仿宋_GB2312" w:cs="方正仿宋_GB2312"/>
                <w:i w:val="0"/>
                <w:iCs w:val="0"/>
                <w:color w:val="000000"/>
                <w:kern w:val="0"/>
                <w:sz w:val="21"/>
                <w:szCs w:val="21"/>
                <w:u w:val="none"/>
                <w:lang w:val="en-US" w:eastAsia="zh-CN" w:bidi="ar"/>
              </w:rPr>
              <w:t>）</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002503090050000-250309005.06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14</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250309005.07</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血清药物浓度测定</w:t>
            </w:r>
            <w:r>
              <w:rPr>
                <w:rFonts w:hint="eastAsia" w:ascii="Times New Roman" w:hAnsi="Times New Roman" w:eastAsia="方正仿宋_GB2312" w:cs="方正仿宋_GB2312"/>
                <w:i w:val="0"/>
                <w:iCs w:val="0"/>
                <w:color w:val="000000"/>
                <w:kern w:val="0"/>
                <w:sz w:val="21"/>
                <w:szCs w:val="21"/>
                <w:u w:val="none"/>
                <w:lang w:val="en-US" w:eastAsia="zh-CN" w:bidi="ar"/>
              </w:rPr>
              <w:t>（</w:t>
            </w:r>
            <w:r>
              <w:rPr>
                <w:rFonts w:hint="default" w:ascii="Times New Roman" w:hAnsi="Times New Roman" w:eastAsia="方正仿宋_GB2312" w:cs="方正仿宋_GB2312"/>
                <w:i w:val="0"/>
                <w:iCs w:val="0"/>
                <w:color w:val="000000"/>
                <w:kern w:val="0"/>
                <w:sz w:val="21"/>
                <w:szCs w:val="21"/>
                <w:u w:val="none"/>
                <w:lang w:val="en-US" w:eastAsia="zh-CN" w:bidi="ar"/>
              </w:rPr>
              <w:t>荧光偏振免疫法加收</w:t>
            </w:r>
            <w:r>
              <w:rPr>
                <w:rFonts w:hint="eastAsia" w:ascii="Times New Roman" w:hAnsi="Times New Roman" w:eastAsia="方正仿宋_GB2312" w:cs="方正仿宋_GB2312"/>
                <w:i w:val="0"/>
                <w:iCs w:val="0"/>
                <w:color w:val="000000"/>
                <w:kern w:val="0"/>
                <w:sz w:val="21"/>
                <w:szCs w:val="21"/>
                <w:u w:val="none"/>
                <w:lang w:val="en-US" w:eastAsia="zh-CN" w:bidi="ar"/>
              </w:rPr>
              <w:t>）</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002503090050000-250309005.07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15</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250309005.08</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血清药物浓度测定</w:t>
            </w:r>
            <w:r>
              <w:rPr>
                <w:rFonts w:hint="eastAsia" w:ascii="Times New Roman" w:hAnsi="Times New Roman" w:eastAsia="方正仿宋_GB2312" w:cs="方正仿宋_GB2312"/>
                <w:i w:val="0"/>
                <w:iCs w:val="0"/>
                <w:color w:val="000000"/>
                <w:kern w:val="0"/>
                <w:sz w:val="21"/>
                <w:szCs w:val="21"/>
                <w:u w:val="none"/>
                <w:lang w:val="en-US" w:eastAsia="zh-CN" w:bidi="ar"/>
              </w:rPr>
              <w:t>（</w:t>
            </w:r>
            <w:r>
              <w:rPr>
                <w:rFonts w:hint="default" w:ascii="Times New Roman" w:hAnsi="Times New Roman" w:eastAsia="方正仿宋_GB2312" w:cs="方正仿宋_GB2312"/>
                <w:i w:val="0"/>
                <w:iCs w:val="0"/>
                <w:color w:val="000000"/>
                <w:kern w:val="0"/>
                <w:sz w:val="21"/>
                <w:szCs w:val="21"/>
                <w:u w:val="none"/>
                <w:lang w:val="en-US" w:eastAsia="zh-CN" w:bidi="ar"/>
              </w:rPr>
              <w:t>甲氨蝶呤测定加收</w:t>
            </w:r>
            <w:r>
              <w:rPr>
                <w:rFonts w:hint="eastAsia" w:ascii="Times New Roman" w:hAnsi="Times New Roman" w:eastAsia="方正仿宋_GB2312" w:cs="方正仿宋_GB2312"/>
                <w:i w:val="0"/>
                <w:iCs w:val="0"/>
                <w:color w:val="000000"/>
                <w:kern w:val="0"/>
                <w:sz w:val="21"/>
                <w:szCs w:val="21"/>
                <w:u w:val="none"/>
                <w:lang w:val="en-US" w:eastAsia="zh-CN" w:bidi="ar"/>
              </w:rPr>
              <w:t>）</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002503090050000-250309005.08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16</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480000004</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人工煎药</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004800000040000-480000004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17</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480000005</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煎药机煎药</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004800000050000-480000005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18</w:t>
            </w:r>
          </w:p>
        </w:tc>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righ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480000003</w:t>
            </w:r>
          </w:p>
        </w:tc>
        <w:tc>
          <w:tcPr>
            <w:tcW w:w="20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2312" w:cs="方正仿宋_GB2312"/>
                <w:i w:val="0"/>
                <w:iCs w:val="0"/>
                <w:color w:val="000000"/>
                <w:sz w:val="21"/>
                <w:szCs w:val="21"/>
                <w:u w:val="none"/>
              </w:rPr>
            </w:pPr>
            <w:r>
              <w:rPr>
                <w:rFonts w:hint="default" w:ascii="Times New Roman" w:hAnsi="Times New Roman" w:eastAsia="方正仿宋_GB2312" w:cs="方正仿宋_GB2312"/>
                <w:i w:val="0"/>
                <w:iCs w:val="0"/>
                <w:color w:val="000000"/>
                <w:kern w:val="0"/>
                <w:sz w:val="21"/>
                <w:szCs w:val="21"/>
                <w:u w:val="none"/>
                <w:lang w:val="en-US" w:eastAsia="zh-CN" w:bidi="ar"/>
              </w:rPr>
              <w:t>中药特殊调配</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宋体" w:cs="宋体"/>
                <w:i w:val="0"/>
                <w:iCs w:val="0"/>
                <w:color w:val="000000"/>
                <w:sz w:val="21"/>
                <w:szCs w:val="21"/>
                <w:u w:val="none"/>
              </w:rPr>
            </w:pPr>
            <w:r>
              <w:rPr>
                <w:rFonts w:hint="eastAsia" w:ascii="Times New Roman" w:hAnsi="Times New Roman" w:eastAsia="宋体" w:cs="宋体"/>
                <w:i w:val="0"/>
                <w:iCs w:val="0"/>
                <w:color w:val="000000"/>
                <w:kern w:val="0"/>
                <w:sz w:val="21"/>
                <w:szCs w:val="21"/>
                <w:u w:val="none"/>
                <w:lang w:val="en-US" w:eastAsia="zh-CN" w:bidi="ar"/>
              </w:rPr>
              <w:t>004800000030000-480000003</w:t>
            </w:r>
          </w:p>
        </w:tc>
      </w:tr>
    </w:tbl>
    <w:p>
      <w:pPr>
        <w:rPr>
          <w:rFonts w:ascii="Times New Roman" w:hAnsi="Times New Roman" w:eastAsia="宋体" w:cs="Times New Roman"/>
          <w:vanish/>
        </w:rPr>
      </w:pPr>
    </w:p>
    <w:p>
      <w:pPr>
        <w:pStyle w:val="2"/>
        <w:rPr>
          <w:vanish/>
        </w:rPr>
        <w:sectPr>
          <w:pgSz w:w="11905" w:h="16838"/>
          <w:pgMar w:top="1962" w:right="1474" w:bottom="1848" w:left="1587" w:header="851" w:footer="992" w:gutter="0"/>
          <w:pgNumType w:fmt="numberInDash"/>
          <w:cols w:space="0" w:num="1"/>
          <w:rtlGutter w:val="0"/>
          <w:docGrid w:type="lines" w:linePitch="336" w:charSpace="0"/>
        </w:sectPr>
      </w:pPr>
    </w:p>
    <w:p>
      <w:pPr>
        <w:keepNext w:val="0"/>
        <w:keepLines w:val="0"/>
        <w:pageBreakBefore w:val="0"/>
        <w:widowControl/>
        <w:shd w:val="clear" w:color="auto"/>
        <w:kinsoku/>
        <w:wordWrap/>
        <w:overflowPunct/>
        <w:topLinePunct w:val="0"/>
        <w:autoSpaceDE/>
        <w:autoSpaceDN/>
        <w:bidi w:val="0"/>
        <w:adjustRightInd/>
        <w:snapToGrid/>
        <w:spacing w:beforeAutospacing="0" w:afterAutospacing="0" w:line="520" w:lineRule="exact"/>
        <w:ind w:firstLine="640" w:firstLineChars="200"/>
        <w:jc w:val="both"/>
        <w:textAlignment w:val="auto"/>
        <w:rPr>
          <w:rFonts w:hint="eastAsia" w:ascii="方正黑体_GBK" w:hAnsi="方正黑体_GBK" w:eastAsia="方正黑体_GBK" w:cs="方正黑体_GBK"/>
          <w:vanish/>
          <w:kern w:val="0"/>
          <w:sz w:val="32"/>
          <w:szCs w:val="32"/>
          <w:shd w:val="clear" w:color="auto" w:fill="FFFFFF"/>
          <w:lang w:val="en-US" w:eastAsia="zh-CN" w:bidi="ar-SA"/>
        </w:rPr>
      </w:pPr>
    </w:p>
    <w:p>
      <w:pPr>
        <w:keepNext w:val="0"/>
        <w:keepLines w:val="0"/>
        <w:pageBreakBefore w:val="0"/>
        <w:widowControl/>
        <w:shd w:val="clear" w:color="auto"/>
        <w:kinsoku/>
        <w:wordWrap/>
        <w:overflowPunct/>
        <w:topLinePunct w:val="0"/>
        <w:autoSpaceDE/>
        <w:autoSpaceDN/>
        <w:bidi w:val="0"/>
        <w:adjustRightInd/>
        <w:snapToGrid/>
        <w:spacing w:beforeAutospacing="0" w:afterAutospacing="0" w:line="520" w:lineRule="exact"/>
        <w:ind w:firstLine="640" w:firstLineChars="200"/>
        <w:jc w:val="both"/>
        <w:textAlignment w:val="auto"/>
        <w:rPr>
          <w:rFonts w:hint="eastAsia" w:ascii="方正黑体_GBK" w:hAnsi="方正黑体_GBK" w:eastAsia="方正黑体_GBK" w:cs="方正黑体_GBK"/>
          <w:vanish/>
          <w:kern w:val="0"/>
          <w:sz w:val="32"/>
          <w:szCs w:val="32"/>
          <w:shd w:val="clear" w:color="auto" w:fill="FFFFFF"/>
          <w:lang w:val="en-US" w:eastAsia="zh-CN" w:bidi="ar-SA"/>
        </w:rPr>
      </w:pPr>
    </w:p>
    <w:p>
      <w:pPr>
        <w:keepNext w:val="0"/>
        <w:keepLines w:val="0"/>
        <w:pageBreakBefore w:val="0"/>
        <w:widowControl/>
        <w:shd w:val="clear" w:color="auto"/>
        <w:kinsoku/>
        <w:wordWrap/>
        <w:overflowPunct/>
        <w:topLinePunct w:val="0"/>
        <w:autoSpaceDE/>
        <w:autoSpaceDN/>
        <w:bidi w:val="0"/>
        <w:adjustRightInd/>
        <w:snapToGrid/>
        <w:spacing w:beforeAutospacing="0" w:afterAutospacing="0" w:line="520" w:lineRule="exact"/>
        <w:jc w:val="both"/>
        <w:textAlignment w:val="auto"/>
        <w:rPr>
          <w:rFonts w:hint="eastAsia" w:ascii="Times New Roman" w:hAnsi="Times New Roman" w:eastAsia="方正仿宋_GBK" w:cs="方正仿宋_GBK"/>
          <w:vanish/>
          <w:kern w:val="0"/>
          <w:sz w:val="32"/>
          <w:szCs w:val="32"/>
          <w:shd w:val="clear" w:color="auto" w:fill="FFFFFF"/>
          <w:lang w:val="en-US" w:eastAsia="zh-CN" w:bidi="ar-SA"/>
        </w:rPr>
      </w:pPr>
    </w:p>
    <w:p>
      <w:pPr>
        <w:keepNext w:val="0"/>
        <w:keepLines w:val="0"/>
        <w:pageBreakBefore w:val="0"/>
        <w:widowControl/>
        <w:shd w:val="clear" w:color="auto"/>
        <w:kinsoku/>
        <w:wordWrap/>
        <w:overflowPunct/>
        <w:topLinePunct w:val="0"/>
        <w:autoSpaceDE/>
        <w:autoSpaceDN/>
        <w:bidi w:val="0"/>
        <w:adjustRightInd/>
        <w:snapToGrid/>
        <w:spacing w:beforeAutospacing="0" w:afterAutospacing="0" w:line="520" w:lineRule="exact"/>
        <w:jc w:val="both"/>
        <w:textAlignment w:val="auto"/>
        <w:rPr>
          <w:rFonts w:hint="eastAsia" w:ascii="Times New Roman" w:hAnsi="Times New Roman" w:eastAsia="方正仿宋_GBK" w:cs="方正仿宋_GBK"/>
          <w:vanish/>
          <w:kern w:val="0"/>
          <w:sz w:val="32"/>
          <w:szCs w:val="32"/>
          <w:shd w:val="clear" w:color="auto" w:fill="FFFFFF"/>
          <w:lang w:val="en-US" w:eastAsia="zh-CN" w:bidi="ar-SA"/>
        </w:rPr>
      </w:pPr>
    </w:p>
    <w:p>
      <w:pPr>
        <w:rPr>
          <w:rFonts w:hint="eastAsia" w:ascii="Times New Roman" w:hAnsi="Times New Roman" w:eastAsia="方正仿宋_GBK" w:cs="Times New Roman"/>
          <w:vanish/>
          <w:color w:val="000000"/>
          <w:sz w:val="32"/>
          <w:szCs w:val="20"/>
        </w:rPr>
      </w:pPr>
    </w:p>
    <w:p>
      <w:pPr>
        <w:pStyle w:val="2"/>
        <w:rPr>
          <w:vanish/>
        </w:rPr>
        <w:sectPr>
          <w:pgSz w:w="11905" w:h="16838"/>
          <w:pgMar w:top="1474" w:right="1984" w:bottom="1587" w:left="2098" w:header="851" w:footer="992" w:gutter="0"/>
          <w:pgNumType w:fmt="numberInDash"/>
          <w:cols w:space="0" w:num="1"/>
          <w:rtlGutter w:val="0"/>
          <w:docGrid w:type="lines" w:linePitch="336" w:charSpace="0"/>
        </w:sectPr>
      </w:pPr>
    </w:p>
    <w:p>
      <w:pPr>
        <w:keepNext w:val="0"/>
        <w:keepLines w:val="0"/>
        <w:pageBreakBefore w:val="0"/>
        <w:widowControl/>
        <w:kinsoku/>
        <w:wordWrap/>
        <w:overflowPunct/>
        <w:topLinePunct w:val="0"/>
        <w:bidi w:val="0"/>
        <w:adjustRightInd w:val="0"/>
        <w:snapToGrid w:val="0"/>
        <w:spacing w:line="560" w:lineRule="exact"/>
        <w:ind w:left="0" w:leftChars="0"/>
        <w:jc w:val="center"/>
        <w:textAlignment w:val="auto"/>
        <w:rPr>
          <w:rFonts w:ascii="Times New Roman" w:hAnsi="Times New Roman" w:eastAsia="仿宋_GB2312" w:cs="Times New Roman"/>
          <w:vanish/>
          <w:sz w:val="32"/>
          <w:szCs w:val="20"/>
        </w:rPr>
      </w:pPr>
    </w:p>
    <w:p>
      <w:pPr>
        <w:rPr>
          <w:rFonts w:hint="eastAsia"/>
          <w:vanish/>
          <w:lang w:val="en-US" w:eastAsia="zh-CN"/>
        </w:rPr>
        <w:sectPr>
          <w:pgSz w:w="11905" w:h="16838"/>
          <w:pgMar w:top="1474" w:right="1984" w:bottom="1587" w:left="2098" w:header="851" w:footer="992" w:gutter="0"/>
          <w:pgNumType w:fmt="numberInDash"/>
          <w:cols w:space="0" w:num="1"/>
          <w:rtlGutter w:val="0"/>
          <w:docGrid w:type="lines" w:linePitch="336" w:charSpace="0"/>
        </w:sectPr>
      </w:pPr>
    </w:p>
    <w:p>
      <w:pPr>
        <w:pStyle w:val="2"/>
        <w:rPr>
          <w:rFonts w:hint="eastAsia"/>
          <w:vanish/>
          <w:lang w:val="en-US" w:eastAsia="zh-CN"/>
        </w:rPr>
      </w:pPr>
    </w:p>
    <w:p>
      <w:pPr>
        <w:rPr>
          <w:rFonts w:hint="eastAsia"/>
          <w:vanish/>
          <w:lang w:val="en-US" w:eastAsia="zh-CN"/>
        </w:rPr>
        <w:sectPr>
          <w:pgSz w:w="11905" w:h="16838"/>
          <w:pgMar w:top="1474" w:right="1984" w:bottom="1587" w:left="2098" w:header="851" w:footer="992" w:gutter="0"/>
          <w:pgNumType w:fmt="numberInDash"/>
          <w:cols w:space="0" w:num="1"/>
          <w:rtlGutter w:val="0"/>
          <w:docGrid w:type="lines" w:linePitch="336" w:charSpace="0"/>
        </w:sectPr>
      </w:pPr>
    </w:p>
    <w:p>
      <w:pPr>
        <w:rPr>
          <w:rFonts w:ascii="Times New Roman" w:hAnsi="Times New Roman"/>
          <w:vanish/>
          <w:szCs w:val="24"/>
        </w:rPr>
      </w:pPr>
      <w:r>
        <w:rPr>
          <w:rFonts w:hint="eastAsia" w:ascii="Times New Roman" w:hAnsi="Times New Roman" w:eastAsia="仿宋_GB2312" w:cs="Times New Roman"/>
          <w:vanish/>
          <w:sz w:val="32"/>
          <w:szCs w:val="32"/>
        </w:rPr>
        <w:br w:type="page"/>
      </w:r>
    </w:p>
    <w:p>
      <w:pPr>
        <w:rPr>
          <w:rFonts w:ascii="Times New Roman" w:hAnsi="Times New Roman"/>
          <w:vanish/>
          <w:szCs w:val="24"/>
        </w:rPr>
      </w:pPr>
    </w:p>
    <w:p>
      <w:pPr>
        <w:rPr>
          <w:rFonts w:ascii="Times New Roman" w:hAnsi="Times New Roman"/>
          <w:vanish/>
          <w:szCs w:val="24"/>
        </w:rPr>
      </w:pPr>
    </w:p>
    <w:p>
      <w:pPr>
        <w:rPr>
          <w:rFonts w:ascii="Times New Roman" w:hAnsi="Times New Roman"/>
          <w:vanish/>
          <w:szCs w:val="24"/>
        </w:rPr>
      </w:pPr>
    </w:p>
    <w:p>
      <w:pPr>
        <w:rPr>
          <w:rFonts w:ascii="Times New Roman" w:hAnsi="Times New Roman"/>
          <w:vanish/>
          <w:szCs w:val="24"/>
        </w:rPr>
      </w:pPr>
    </w:p>
    <w:p>
      <w:pPr>
        <w:rPr>
          <w:rFonts w:ascii="Times New Roman" w:hAnsi="Times New Roman"/>
          <w:vanish/>
          <w:szCs w:val="24"/>
        </w:rPr>
      </w:pPr>
    </w:p>
    <w:p>
      <w:pPr>
        <w:keepNext/>
        <w:keepLines/>
        <w:widowControl w:val="0"/>
        <w:spacing w:before="340" w:after="330" w:line="578" w:lineRule="auto"/>
        <w:jc w:val="both"/>
        <w:outlineLvl w:val="0"/>
        <w:rPr>
          <w:rFonts w:hint="eastAsia" w:ascii="Times New Roman" w:hAnsi="Times New Roman" w:eastAsia="宋体" w:cs="Times New Roman"/>
          <w:b/>
          <w:bCs/>
          <w:vanish/>
          <w:kern w:val="44"/>
          <w:sz w:val="44"/>
          <w:szCs w:val="44"/>
          <w:lang w:val="en-US" w:eastAsia="zh-CN" w:bidi="ar-SA"/>
        </w:rPr>
      </w:pPr>
    </w:p>
    <w:p>
      <w:pPr>
        <w:rPr>
          <w:rFonts w:ascii="Times New Roman" w:hAnsi="Times New Roman" w:eastAsia="仿宋_GB2312" w:cs="Times New Roman"/>
          <w:vanish/>
          <w:sz w:val="32"/>
          <w:szCs w:val="32"/>
        </w:rPr>
      </w:pPr>
    </w:p>
    <w:p>
      <w:pPr>
        <w:rPr>
          <w:rFonts w:ascii="Times New Roman" w:hAnsi="Times New Roman" w:eastAsia="仿宋_GB2312" w:cs="Times New Roman"/>
          <w:vanish/>
          <w:sz w:val="32"/>
          <w:szCs w:val="32"/>
        </w:rPr>
      </w:pPr>
    </w:p>
    <w:p>
      <w:pPr>
        <w:rPr>
          <w:rFonts w:ascii="Times New Roman" w:hAnsi="Times New Roman" w:eastAsia="仿宋_GB2312" w:cs="Times New Roman"/>
          <w:vanish/>
          <w:sz w:val="32"/>
          <w:szCs w:val="32"/>
        </w:rPr>
      </w:pPr>
    </w:p>
    <w:p>
      <w:pPr>
        <w:jc w:val="right"/>
        <w:rPr>
          <w:rFonts w:ascii="Times New Roman" w:hAnsi="Times New Roman" w:eastAsia="仿宋_GB2312" w:cs="Times New Roman"/>
          <w:vanish/>
          <w:sz w:val="32"/>
          <w:szCs w:val="32"/>
        </w:rPr>
      </w:pPr>
    </w:p>
    <w:p>
      <w:pPr>
        <w:rPr>
          <w:rFonts w:ascii="Times New Roman" w:hAnsi="Times New Roman" w:eastAsia="仿宋_GB2312" w:cs="Times New Roman"/>
          <w:vanish/>
          <w:sz w:val="32"/>
          <w:szCs w:val="32"/>
        </w:rPr>
      </w:pPr>
    </w:p>
    <w:p>
      <w:pPr>
        <w:rPr>
          <w:rFonts w:ascii="Times New Roman" w:hAnsi="Times New Roman" w:eastAsia="仿宋_GB2312" w:cs="Times New Roman"/>
          <w:vanish/>
          <w:sz w:val="32"/>
          <w:szCs w:val="32"/>
        </w:rPr>
      </w:pPr>
    </w:p>
    <w:p>
      <w:pPr>
        <w:rPr>
          <w:rFonts w:ascii="Times New Roman" w:hAnsi="Times New Roman" w:eastAsia="仿宋_GB2312" w:cs="Times New Roman"/>
          <w:vanish/>
          <w:sz w:val="32"/>
          <w:szCs w:val="32"/>
        </w:rPr>
      </w:pPr>
    </w:p>
    <w:p>
      <w:pPr>
        <w:snapToGrid w:val="0"/>
        <w:spacing w:line="15" w:lineRule="auto"/>
        <w:rPr>
          <w:rFonts w:ascii="Times New Roman" w:hAnsi="Times New Roman" w:eastAsia="仿宋_GB2312" w:cs="Times New Roman"/>
          <w:vanish/>
          <w:sz w:val="32"/>
          <w:szCs w:val="32"/>
        </w:rPr>
      </w:pPr>
    </w:p>
    <w:p>
      <w:pPr>
        <w:rPr>
          <w:rFonts w:hint="eastAsia" w:ascii="Times New Roman" w:hAnsi="Times New Roman" w:eastAsia="仿宋_GB2312" w:cs="Times New Roman"/>
          <w:vanish/>
          <w:sz w:val="32"/>
          <w:szCs w:val="32"/>
        </w:rPr>
      </w:pPr>
    </w:p>
    <w:p>
      <w:pPr>
        <w:rPr>
          <w:rFonts w:eastAsia="宋体" w:cs="Times New Roman"/>
          <w:vanish/>
          <w:sz w:val="21"/>
          <w:szCs w:val="22"/>
        </w:rPr>
      </w:pPr>
    </w:p>
    <w:p>
      <w:pPr>
        <w:rPr>
          <w:rFonts w:eastAsia="宋体" w:cs="Times New Roman"/>
          <w:vanish/>
          <w:sz w:val="21"/>
          <w:szCs w:val="22"/>
        </w:rPr>
      </w:pPr>
    </w:p>
    <w:p>
      <w:pPr>
        <w:rPr>
          <w:rFonts w:eastAsia="宋体" w:cs="Times New Roman"/>
          <w:vanish/>
          <w:sz w:val="21"/>
          <w:szCs w:val="22"/>
        </w:rPr>
      </w:pPr>
    </w:p>
    <w:p>
      <w:pPr>
        <w:rPr>
          <w:rFonts w:eastAsia="宋体" w:cs="Times New Roman"/>
          <w:vanish/>
          <w:sz w:val="21"/>
          <w:szCs w:val="22"/>
        </w:rPr>
      </w:pPr>
    </w:p>
    <w:p>
      <w:pPr>
        <w:rPr>
          <w:rFonts w:eastAsia="宋体" w:cs="Times New Roman"/>
          <w:vanish/>
          <w:sz w:val="21"/>
          <w:szCs w:val="22"/>
        </w:rPr>
      </w:pPr>
    </w:p>
    <w:p>
      <w:pPr>
        <w:rPr>
          <w:rFonts w:eastAsia="宋体" w:cs="Times New Roman"/>
          <w:vanish/>
          <w:sz w:val="21"/>
          <w:szCs w:val="22"/>
        </w:rPr>
      </w:pPr>
    </w:p>
    <w:p>
      <w:pPr>
        <w:rPr>
          <w:rFonts w:eastAsia="宋体" w:cs="Times New Roman"/>
          <w:vanish/>
          <w:sz w:val="21"/>
          <w:szCs w:val="22"/>
        </w:rPr>
      </w:pPr>
    </w:p>
    <w:p>
      <w:pPr>
        <w:rPr>
          <w:rFonts w:eastAsia="宋体" w:cs="Times New Roman"/>
          <w:vanish/>
          <w:sz w:val="21"/>
          <w:szCs w:val="22"/>
        </w:rPr>
      </w:pPr>
    </w:p>
    <w:p>
      <w:pPr>
        <w:rPr>
          <w:rFonts w:eastAsia="宋体" w:cs="Times New Roman"/>
          <w:vanish/>
          <w:sz w:val="21"/>
          <w:szCs w:val="22"/>
        </w:rPr>
      </w:pPr>
    </w:p>
    <w:p>
      <w:pPr>
        <w:rPr>
          <w:rFonts w:eastAsia="宋体" w:cs="Times New Roman"/>
          <w:vanish/>
          <w:sz w:val="21"/>
          <w:szCs w:val="22"/>
        </w:rPr>
      </w:pPr>
    </w:p>
    <w:p>
      <w:pPr>
        <w:jc w:val="right"/>
        <w:rPr>
          <w:rFonts w:eastAsia="宋体" w:cs="Times New Roman"/>
          <w:vanish/>
          <w:sz w:val="21"/>
          <w:szCs w:val="22"/>
        </w:rPr>
      </w:pPr>
      <w:bookmarkStart w:id="0" w:name="公章"/>
      <w:bookmarkEnd w:id="0"/>
    </w:p>
    <w:p>
      <w:pPr>
        <w:rPr>
          <w:rFonts w:eastAsia="宋体" w:cs="Times New Roman"/>
          <w:vanish/>
          <w:sz w:val="21"/>
          <w:szCs w:val="22"/>
        </w:rPr>
      </w:pPr>
    </w:p>
    <w:p>
      <w:pPr>
        <w:rPr>
          <w:rFonts w:eastAsia="宋体" w:cs="Times New Roman"/>
          <w:vanish/>
          <w:sz w:val="21"/>
          <w:szCs w:val="22"/>
        </w:rPr>
      </w:pPr>
    </w:p>
    <w:p>
      <w:pPr>
        <w:rPr>
          <w:rFonts w:eastAsia="宋体" w:cs="Times New Roman"/>
          <w:vanish/>
          <w:sz w:val="21"/>
          <w:szCs w:val="22"/>
        </w:rPr>
      </w:pPr>
    </w:p>
    <w:p>
      <w:pPr>
        <w:rPr>
          <w:rFonts w:ascii="方正仿宋_GBK" w:eastAsia="方正仿宋_GBK" w:cs="Times New Roman"/>
          <w:vanish/>
          <w:sz w:val="21"/>
          <w:szCs w:val="22"/>
        </w:rPr>
      </w:pPr>
    </w:p>
    <w:p>
      <w:pPr>
        <w:rPr>
          <w:rFonts w:eastAsia="宋体" w:cs="Times New Roman"/>
          <w:vanish/>
          <w:sz w:val="21"/>
          <w:szCs w:val="24"/>
        </w:rPr>
      </w:pPr>
    </w:p>
    <w:p>
      <w:pPr>
        <w:rPr>
          <w:vanish/>
        </w:rPr>
      </w:pPr>
    </w:p>
    <w:p>
      <w:pPr>
        <w:rPr>
          <w:vanish/>
        </w:rPr>
      </w:pPr>
    </w:p>
    <w:p>
      <w:pPr>
        <w:rPr>
          <w:vanish/>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pStyle w:val="3"/>
        <w:snapToGrid w:val="0"/>
        <w:spacing w:line="144" w:lineRule="auto"/>
        <w:rPr>
          <w:rFonts w:eastAsia="方正仿宋_GBK" w:cs="方正仿宋_GBK"/>
          <w:vanish/>
          <w:sz w:val="32"/>
        </w:rPr>
      </w:pPr>
    </w:p>
    <w:p>
      <w:pPr>
        <w:rPr>
          <w:vanish/>
        </w:rPr>
      </w:pPr>
    </w:p>
    <w:p>
      <w:pPr>
        <w:rPr>
          <w:vanish/>
        </w:rPr>
      </w:pPr>
    </w:p>
    <w:p>
      <w:pPr>
        <w:rPr>
          <w:vanish/>
        </w:rPr>
      </w:pPr>
    </w:p>
    <w:p>
      <w:pPr>
        <w:rPr>
          <w:vanish/>
        </w:rPr>
      </w:pPr>
    </w:p>
    <w:p>
      <w:pPr>
        <w:rPr>
          <w:vanish/>
        </w:rPr>
      </w:pPr>
    </w:p>
    <w:sectPr>
      <w:pgSz w:w="11905" w:h="16838"/>
      <w:pgMar w:top="1474" w:right="1984" w:bottom="1587" w:left="2098" w:header="851" w:footer="992" w:gutter="0"/>
      <w:pgNumType w:fmt="numberInDash"/>
      <w:cols w:space="0" w:num="1"/>
      <w:rtlGutter w:val="0"/>
      <w:docGrid w:type="lines" w:linePitch="3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beforeLines="100"/>
      <w:jc w:val="righ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-120015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9.45pt;height:144pt;width:144pt;mso-position-horizontal:outside;mso-position-horizontal-relative:margin;mso-wrap-style:none;z-index:251659264;mso-width-relative:page;mso-height-relative:page;" filled="f" stroked="f" coordsize="21600,21600" o:gfxdata="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DvatC9UAAAAIAQAADwAAAAAAAAABACAAAAAiAAAAZHJzL2Rvd25yZXYu&#10;eG1sUEsBAhQAFAAAAAgAh07iQL10G3Y3AgAAbwQAAA4AAAAAAAAAAQAgAAAAJAEAAGRycy9lMm9E&#10;b2MueG1sUEsFBgAAAAAGAAYAWQEAAM0FAAAAAA==&#10;">
              <v:fill on="f" focussize="0,0"/>
              <v:stroke on="f" weight="0.5pt"/>
              <v:imagedata o:title=""/>
              <o:lock v:ext="edit" aspectratio="f"/>
              <v:textbox inset="0mm,0mm,0mm,0mm" style="mso-fit-shape-to-text:t;">
                <w:txbxContent>
                  <w:p>
                    <w:pPr>
                      <w:pStyle w:val="6"/>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v:textbox>
            </v:shape>
          </w:pict>
        </mc:Fallback>
      </mc:AlternateContent>
    </w:r>
    <w:r>
      <w:rPr>
        <w:rFonts w:ascii="宋体" w:hAnsi="宋体" w:cs="宋体"/>
        <w:b/>
        <w:bCs/>
        <w:color w:val="005192"/>
        <w:sz w:val="28"/>
        <w:szCs w:val="44"/>
        <w:lang w:val="en-US"/>
      </w:rPr>
      <mc:AlternateContent>
        <mc:Choice Requires="wps">
          <w:drawing>
            <wp:anchor distT="0" distB="0" distL="114300" distR="114300" simplePos="0" relativeHeight="251661312" behindDoc="0" locked="0" layoutInCell="1" allowOverlap="1">
              <wp:simplePos x="0" y="0"/>
              <wp:positionH relativeFrom="column">
                <wp:posOffset>15240</wp:posOffset>
              </wp:positionH>
              <wp:positionV relativeFrom="paragraph">
                <wp:posOffset>136525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1.2pt;margin-top:10.75pt;height:0.15pt;width:442.25pt;z-index:251661312;mso-width-relative:page;mso-height-relative:page;" filled="f" stroked="t" coordsize="21600,21600" o:gfxdata="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F&#10;U66U1AAAAAc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ascii="宋体" w:hAnsi="宋体" w:cs="宋体"/>
        <w:b/>
        <w:bCs/>
        <w:color w:val="005192"/>
        <w:sz w:val="28"/>
        <w:szCs w:val="44"/>
        <w:lang w:val="en-US"/>
      </w:rPr>
      <w:t>重庆市医疗保障局发布</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spacing w:beforeLines="150"/>
      <w:jc w:val="left"/>
      <w:rPr>
        <w:rFonts w:hint="eastAsia" w:ascii="宋体" w:hAnsi="宋体" w:cs="宋体"/>
        <w:b/>
        <w:bCs/>
        <w:color w:val="005192"/>
        <w:sz w:val="32"/>
        <w:szCs w:val="32"/>
        <w:lang w:val="en-US"/>
      </w:rPr>
    </w:pPr>
    <w:r>
      <w:rPr>
        <w:rFonts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7620</wp:posOffset>
              </wp:positionH>
              <wp:positionV relativeFrom="paragraph">
                <wp:posOffset>675005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0" y="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6pt;margin-top:53.15pt;height:0pt;width:442.55pt;z-index:251660288;mso-width-relative:page;mso-height-relative:page;" filled="f" stroked="t" coordsize="21600,21600" o:gfxdata="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16xMIdIA&#10;AAAJAQAADwAAAAAAAAABACAAAAAiAAAAZHJzL2Rvd25yZXYueG1sUEsBAhQAFAAAAAgAh07iQLOJ&#10;ui7sAQAAwAMAAA4AAAAAAAAAAQAgAAAAIQEAAGRycy9lMm9Eb2MueG1sUEsFBgAAAAAGAAYAWQEA&#10;AH8FAAAAAA==&#10;">
              <v:fill on="f" focussize="0,0"/>
              <v:stroke weight="1.75pt" color="#005192" miterlimit="8" joinstyle="miter"/>
              <v:imagedata o:title=""/>
              <o:lock v:ext="edit" aspectratio="f"/>
            </v:line>
          </w:pict>
        </mc:Fallback>
      </mc:AlternateContent>
    </w:r>
    <w:r>
      <w:rPr>
        <w:rFonts w:hint="eastAsia" w:ascii="宋体" w:hAnsi="宋体" w:cs="宋体"/>
        <w:b/>
        <w:bCs/>
        <w:color w:val="005192"/>
        <w:sz w:val="32"/>
        <w:lang w:val="en-US"/>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lang w:val="en-US"/>
      </w:rPr>
      <w:t>重庆市医疗保障局</w:t>
    </w:r>
    <w:r>
      <w:rPr>
        <w:rFonts w:hint="eastAsia" w:ascii="宋体" w:hAnsi="宋体" w:cs="宋体"/>
        <w:b/>
        <w:bCs/>
        <w:color w:val="005192"/>
        <w:sz w:val="32"/>
        <w:szCs w:val="32"/>
        <w:lang w:val="en-US"/>
      </w:rPr>
      <w:t>规范性文件</w:t>
    </w:r>
  </w:p>
  <w:p>
    <w:pPr>
      <w:pStyle w:val="7"/>
      <w:keepNext w:val="0"/>
      <w:keepLines w:val="0"/>
      <w:pageBreakBefore w:val="0"/>
      <w:widowControl w:val="0"/>
      <w:pBdr>
        <w:bottom w:val="none" w:color="auto" w:sz="0" w:space="0"/>
      </w:pBdr>
      <w:kinsoku/>
      <w:wordWrap/>
      <w:overflowPunct/>
      <w:topLinePunct w:val="0"/>
      <w:autoSpaceDE/>
      <w:autoSpaceDN/>
      <w:bidi w:val="0"/>
      <w:adjustRightInd/>
      <w:snapToGrid w:val="0"/>
      <w:jc w:val="left"/>
      <w:textAlignment w:val="auto"/>
      <w:rPr>
        <w:rFonts w:hint="eastAsia" w:ascii="宋体" w:hAnsi="宋体" w:cs="宋体"/>
        <w:b/>
        <w:bCs/>
        <w:color w:val="005192"/>
        <w:sz w:val="32"/>
        <w:szCs w:val="32"/>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68"/>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BD59F1"/>
    <w:rsid w:val="001B29FD"/>
    <w:rsid w:val="001E62AC"/>
    <w:rsid w:val="00256583"/>
    <w:rsid w:val="00287718"/>
    <w:rsid w:val="002958C0"/>
    <w:rsid w:val="00336BD7"/>
    <w:rsid w:val="004375A7"/>
    <w:rsid w:val="00465ED9"/>
    <w:rsid w:val="004F3710"/>
    <w:rsid w:val="006236DB"/>
    <w:rsid w:val="006251EB"/>
    <w:rsid w:val="00627C57"/>
    <w:rsid w:val="006761A9"/>
    <w:rsid w:val="006C28A5"/>
    <w:rsid w:val="006C716A"/>
    <w:rsid w:val="00800B09"/>
    <w:rsid w:val="008A1FBB"/>
    <w:rsid w:val="009569E5"/>
    <w:rsid w:val="00A8021B"/>
    <w:rsid w:val="00BB0F49"/>
    <w:rsid w:val="00BD59F1"/>
    <w:rsid w:val="00C02CA9"/>
    <w:rsid w:val="00C05E09"/>
    <w:rsid w:val="00D822F4"/>
    <w:rsid w:val="00E10AF5"/>
    <w:rsid w:val="00E95DD5"/>
    <w:rsid w:val="00E97256"/>
    <w:rsid w:val="00EC1B42"/>
    <w:rsid w:val="00F65B11"/>
    <w:rsid w:val="00F713B4"/>
    <w:rsid w:val="017161EE"/>
    <w:rsid w:val="0373439E"/>
    <w:rsid w:val="05E13F99"/>
    <w:rsid w:val="06107982"/>
    <w:rsid w:val="069B5865"/>
    <w:rsid w:val="08FE7C34"/>
    <w:rsid w:val="09013BBB"/>
    <w:rsid w:val="09C724A7"/>
    <w:rsid w:val="0B195B80"/>
    <w:rsid w:val="0C410ADE"/>
    <w:rsid w:val="16D81DB6"/>
    <w:rsid w:val="174775C1"/>
    <w:rsid w:val="19F26BB1"/>
    <w:rsid w:val="1A7754F8"/>
    <w:rsid w:val="1B0753E2"/>
    <w:rsid w:val="1C03787B"/>
    <w:rsid w:val="1F66431E"/>
    <w:rsid w:val="1F6B6086"/>
    <w:rsid w:val="1FF2314D"/>
    <w:rsid w:val="20E3156C"/>
    <w:rsid w:val="216632C4"/>
    <w:rsid w:val="21827243"/>
    <w:rsid w:val="23C54B29"/>
    <w:rsid w:val="246F043F"/>
    <w:rsid w:val="250948EB"/>
    <w:rsid w:val="25B67322"/>
    <w:rsid w:val="261C1009"/>
    <w:rsid w:val="26FE3319"/>
    <w:rsid w:val="27851AC3"/>
    <w:rsid w:val="2B1D7252"/>
    <w:rsid w:val="2B372E74"/>
    <w:rsid w:val="2BC52E85"/>
    <w:rsid w:val="2C0679BF"/>
    <w:rsid w:val="2DEC6BE5"/>
    <w:rsid w:val="2E593E6B"/>
    <w:rsid w:val="2EA678A8"/>
    <w:rsid w:val="2F552C1A"/>
    <w:rsid w:val="2FBD190A"/>
    <w:rsid w:val="310205E4"/>
    <w:rsid w:val="314372AE"/>
    <w:rsid w:val="31667E06"/>
    <w:rsid w:val="324E1D58"/>
    <w:rsid w:val="32DA5548"/>
    <w:rsid w:val="335B486B"/>
    <w:rsid w:val="369E4EAA"/>
    <w:rsid w:val="3A0972FD"/>
    <w:rsid w:val="3A681A91"/>
    <w:rsid w:val="3CC11305"/>
    <w:rsid w:val="3E8C7CCF"/>
    <w:rsid w:val="40671451"/>
    <w:rsid w:val="40CB1594"/>
    <w:rsid w:val="41533E94"/>
    <w:rsid w:val="43350544"/>
    <w:rsid w:val="44897362"/>
    <w:rsid w:val="44BE37CF"/>
    <w:rsid w:val="45A537EA"/>
    <w:rsid w:val="464D005F"/>
    <w:rsid w:val="48572A95"/>
    <w:rsid w:val="4A280732"/>
    <w:rsid w:val="4A9A45D5"/>
    <w:rsid w:val="4A9F2515"/>
    <w:rsid w:val="4D3B4FB8"/>
    <w:rsid w:val="4E5F467B"/>
    <w:rsid w:val="53AD1103"/>
    <w:rsid w:val="546D5C10"/>
    <w:rsid w:val="54E36229"/>
    <w:rsid w:val="554B02CC"/>
    <w:rsid w:val="556D5B9C"/>
    <w:rsid w:val="589B50B4"/>
    <w:rsid w:val="59312802"/>
    <w:rsid w:val="5BEE4C02"/>
    <w:rsid w:val="5F1B253F"/>
    <w:rsid w:val="5F78236B"/>
    <w:rsid w:val="602461BE"/>
    <w:rsid w:val="60E9359A"/>
    <w:rsid w:val="6314426C"/>
    <w:rsid w:val="631B4721"/>
    <w:rsid w:val="633529D8"/>
    <w:rsid w:val="63936688"/>
    <w:rsid w:val="699A3F3C"/>
    <w:rsid w:val="6CF5407A"/>
    <w:rsid w:val="6FAC2205"/>
    <w:rsid w:val="75671C1B"/>
    <w:rsid w:val="7874644F"/>
    <w:rsid w:val="791E0F5E"/>
    <w:rsid w:val="7B1A16F5"/>
    <w:rsid w:val="7CCA0390"/>
    <w:rsid w:val="7E933500"/>
    <w:rsid w:val="7FFF4A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100" w:beforeAutospacing="1" w:after="100" w:afterAutospacing="1"/>
      <w:outlineLvl w:val="0"/>
    </w:pPr>
    <w:rPr>
      <w:rFonts w:hint="eastAsia" w:ascii="宋体" w:hAnsi="宋体"/>
      <w:b/>
      <w:kern w:val="44"/>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link w:val="13"/>
    <w:semiHidden/>
    <w:unhideWhenUsed/>
    <w:qFormat/>
    <w:uiPriority w:val="99"/>
    <w:pPr>
      <w:jc w:val="center"/>
    </w:pPr>
    <w:rPr>
      <w:lang w:val="zh-CN"/>
    </w:rPr>
  </w:style>
  <w:style w:type="paragraph" w:customStyle="1" w:styleId="4">
    <w:name w:val="默认"/>
    <w:qFormat/>
    <w:uiPriority w:val="0"/>
    <w:rPr>
      <w:rFonts w:ascii="Helvetica" w:hAnsi="Helvetica" w:eastAsia="Helvetica" w:cs="Helvetica"/>
      <w:color w:val="000000"/>
      <w:sz w:val="22"/>
      <w:szCs w:val="22"/>
      <w:lang w:val="en-US" w:eastAsia="zh-CN" w:bidi="ar-SA"/>
    </w:rPr>
  </w:style>
  <w:style w:type="paragraph" w:styleId="5">
    <w:name w:val="Balloon Text"/>
    <w:basedOn w:val="1"/>
    <w:link w:val="14"/>
    <w:semiHidden/>
    <w:unhideWhenUsed/>
    <w:qFormat/>
    <w:uiPriority w:val="99"/>
    <w:rPr>
      <w:sz w:val="18"/>
      <w:szCs w:val="18"/>
    </w:rPr>
  </w:style>
  <w:style w:type="paragraph" w:styleId="6">
    <w:name w:val="footer"/>
    <w:basedOn w:val="1"/>
    <w:link w:val="11"/>
    <w:semiHidden/>
    <w:unhideWhenUsed/>
    <w:qFormat/>
    <w:uiPriority w:val="99"/>
    <w:pPr>
      <w:tabs>
        <w:tab w:val="center" w:pos="4153"/>
        <w:tab w:val="right" w:pos="8306"/>
      </w:tabs>
      <w:snapToGrid w:val="0"/>
      <w:jc w:val="left"/>
    </w:pPr>
    <w:rPr>
      <w:kern w:val="0"/>
      <w:sz w:val="18"/>
      <w:szCs w:val="18"/>
      <w:lang w:val="zh-CN"/>
    </w:rPr>
  </w:style>
  <w:style w:type="paragraph" w:styleId="7">
    <w:name w:val="header"/>
    <w:basedOn w:val="1"/>
    <w:link w:val="10"/>
    <w:semiHidden/>
    <w:unhideWhenUsed/>
    <w:qFormat/>
    <w:uiPriority w:val="99"/>
    <w:pPr>
      <w:pBdr>
        <w:bottom w:val="single" w:color="auto" w:sz="6" w:space="1"/>
      </w:pBdr>
      <w:tabs>
        <w:tab w:val="center" w:pos="4153"/>
        <w:tab w:val="right" w:pos="8306"/>
      </w:tabs>
      <w:snapToGrid w:val="0"/>
      <w:jc w:val="center"/>
    </w:pPr>
    <w:rPr>
      <w:kern w:val="0"/>
      <w:sz w:val="18"/>
      <w:szCs w:val="18"/>
      <w:lang w:val="zh-CN"/>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character" w:customStyle="1" w:styleId="12">
    <w:name w:val="正文文本 Char"/>
    <w:semiHidden/>
    <w:qFormat/>
    <w:uiPriority w:val="99"/>
    <w:rPr>
      <w:kern w:val="2"/>
      <w:sz w:val="21"/>
      <w:szCs w:val="22"/>
    </w:rPr>
  </w:style>
  <w:style w:type="character" w:customStyle="1" w:styleId="13">
    <w:name w:val="正文文本 Char1"/>
    <w:link w:val="3"/>
    <w:qFormat/>
    <w:uiPriority w:val="0"/>
    <w:rPr>
      <w:rFonts w:ascii="Times New Roman" w:hAnsi="Times New Roman" w:eastAsia="仿宋_GB2312"/>
      <w:b/>
      <w:color w:val="FF0000"/>
      <w:kern w:val="2"/>
      <w:sz w:val="44"/>
      <w:szCs w:val="32"/>
      <w:lang w:val="zh-CN" w:eastAsia="zh-CN"/>
    </w:rPr>
  </w:style>
  <w:style w:type="character" w:customStyle="1" w:styleId="14">
    <w:name w:val="批注框文本 Char"/>
    <w:basedOn w:val="9"/>
    <w:link w:val="5"/>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Users</Company>
  <Pages>1</Pages>
  <Words>146</Words>
  <Characters>835</Characters>
  <Lines>6</Lines>
  <Paragraphs>1</Paragraphs>
  <TotalTime>1</TotalTime>
  <ScaleCrop>false</ScaleCrop>
  <LinksUpToDate>false</LinksUpToDate>
  <CharactersWithSpaces>980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2021-12-02T08:42:00Z</dcterms:created>
  <dc:creator>赖茜</dc:creator>
  <cp:lastModifiedBy>胡娟</cp:lastModifiedBy>
  <cp:lastPrinted>2023-03-10T07:08:00Z</cp:lastPrinted>
  <dcterms:modified xsi:type="dcterms:W3CDTF">2026-08-07T09:28:18Z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74511360C7224A8CA38D30431A1BD65B</vt:lpwstr>
  </property>
</Properties>
</file>