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eastAsia="方正小标宋_GBK"/>
          <w:sz w:val="40"/>
          <w:szCs w:val="40"/>
        </w:rPr>
      </w:pPr>
    </w:p>
    <w:p>
      <w:pPr>
        <w:spacing w:line="540" w:lineRule="exact"/>
        <w:jc w:val="center"/>
        <w:rPr>
          <w:rFonts w:eastAsia="方正小标宋_GBK"/>
          <w:sz w:val="40"/>
          <w:szCs w:val="40"/>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p>
    <w:p>
      <w:pPr>
        <w:spacing w:line="560" w:lineRule="exact"/>
        <w:jc w:val="left"/>
        <w:rPr>
          <w:rFonts w:eastAsia="方正小标宋_GBK" w:cs="Times New Roman"/>
          <w:sz w:val="40"/>
          <w:szCs w:val="40"/>
        </w:rPr>
      </w:pPr>
      <w:r>
        <w:rPr>
          <w:rFonts w:hint="eastAsia" w:ascii="Times New Roman" w:hAnsi="Times New Roman" w:eastAsia="方正仿宋_GBK" w:cs="方正仿宋_GBK"/>
          <w:sz w:val="32"/>
          <w:szCs w:val="32"/>
        </w:rPr>
        <w:t xml:space="preserve">   </w:t>
      </w:r>
    </w:p>
    <w:p>
      <w:pPr>
        <w:spacing w:line="460" w:lineRule="exact"/>
        <w:jc w:val="center"/>
        <w:rPr>
          <w:rFonts w:eastAsia="方正小标宋_GBK" w:cs="Times New Roman"/>
          <w:sz w:val="40"/>
          <w:szCs w:val="40"/>
        </w:rPr>
      </w:pPr>
    </w:p>
    <w:p>
      <w:pPr>
        <w:spacing w:line="600" w:lineRule="exact"/>
        <w:jc w:val="center"/>
        <w:rPr>
          <w:rFonts w:eastAsia="方正小标宋_GBK" w:cs="Times New Roman"/>
          <w:w w:val="40"/>
          <w:sz w:val="40"/>
          <w:szCs w:val="40"/>
        </w:rPr>
      </w:pPr>
    </w:p>
    <w:p>
      <w:pPr>
        <w:spacing w:line="600" w:lineRule="exact"/>
        <w:jc w:val="center"/>
        <w:rPr>
          <w:rFonts w:eastAsia="方正小标宋_GBK" w:cs="Times New Roman"/>
        </w:rPr>
      </w:pPr>
    </w:p>
    <w:p>
      <w:pPr>
        <w:spacing w:line="80" w:lineRule="exact"/>
        <w:jc w:val="center"/>
        <w:rPr>
          <w:rFonts w:eastAsia="方正仿宋简体" w:cs="Times New Roman"/>
          <w:sz w:val="34"/>
          <w:szCs w:val="34"/>
        </w:rPr>
      </w:pPr>
    </w:p>
    <w:p>
      <w:pPr>
        <w:autoSpaceDE w:val="0"/>
        <w:autoSpaceDN w:val="0"/>
        <w:adjustRightInd w:val="0"/>
        <w:spacing w:line="640" w:lineRule="exact"/>
        <w:jc w:val="center"/>
        <w:rPr>
          <w:rFonts w:ascii="方正小标宋_GBK" w:eastAsia="方正小标宋_GBK" w:cs="Calibri"/>
          <w:kern w:val="0"/>
          <w:sz w:val="44"/>
          <w:szCs w:val="44"/>
        </w:rPr>
      </w:pPr>
      <w:bookmarkStart w:id="0" w:name="quanwen"/>
      <w:r>
        <w:rPr>
          <w:rFonts w:hint="eastAsia" w:ascii="方正小标宋_GBK" w:eastAsia="方正小标宋_GBK" w:cs="宋体"/>
          <w:kern w:val="0"/>
          <w:sz w:val="44"/>
          <w:szCs w:val="44"/>
          <w:lang w:val="zh-CN"/>
        </w:rPr>
        <w:t>重庆市医疗保障局</w:t>
      </w:r>
    </w:p>
    <w:p>
      <w:pPr>
        <w:autoSpaceDE w:val="0"/>
        <w:autoSpaceDN w:val="0"/>
        <w:adjustRightInd w:val="0"/>
        <w:spacing w:line="640" w:lineRule="exact"/>
        <w:jc w:val="center"/>
        <w:rPr>
          <w:rFonts w:ascii="方正小标宋_GBK" w:eastAsia="方正小标宋_GBK" w:cs="宋体"/>
          <w:kern w:val="0"/>
          <w:sz w:val="44"/>
          <w:szCs w:val="44"/>
          <w:lang w:val="zh-CN"/>
        </w:rPr>
      </w:pPr>
      <w:r>
        <w:rPr>
          <w:rFonts w:hint="eastAsia" w:ascii="方正小标宋_GBK" w:eastAsia="方正小标宋_GBK" w:cs="宋体"/>
          <w:kern w:val="0"/>
          <w:sz w:val="44"/>
          <w:szCs w:val="44"/>
          <w:lang w:val="zh-CN"/>
        </w:rPr>
        <w:t>关于废止部分行政规范性文件的通知</w:t>
      </w:r>
    </w:p>
    <w:p>
      <w:pPr>
        <w:jc w:val="center"/>
        <w:rPr>
          <w:rFonts w:eastAsia="方正仿宋_GBK" w:cs="方正仿宋_GBK"/>
          <w:sz w:val="32"/>
          <w:szCs w:val="32"/>
        </w:rPr>
      </w:pPr>
      <w:r>
        <w:rPr>
          <w:rFonts w:hint="eastAsia" w:eastAsia="方正仿宋_GBK" w:cs="方正仿宋_GBK"/>
          <w:sz w:val="32"/>
          <w:szCs w:val="32"/>
        </w:rPr>
        <w:t>渝医保发〔</w:t>
      </w:r>
      <w:r>
        <w:rPr>
          <w:rFonts w:ascii="Times New Roman" w:hAnsi="Times New Roman" w:eastAsia="方正仿宋_GBK" w:cs="Times New Roman"/>
          <w:sz w:val="32"/>
          <w:szCs w:val="32"/>
        </w:rPr>
        <w:t>2026</w:t>
      </w:r>
      <w:r>
        <w:rPr>
          <w:rFonts w:hint="eastAsia" w:eastAsia="方正仿宋_GBK" w:cs="方正仿宋_GBK"/>
          <w:sz w:val="32"/>
          <w:szCs w:val="32"/>
        </w:rPr>
        <w:t>〕</w:t>
      </w:r>
      <w:r>
        <w:rPr>
          <w:rFonts w:ascii="Times New Roman" w:hAnsi="Times New Roman" w:eastAsia="方正仿宋_GBK" w:cs="Times New Roman"/>
          <w:sz w:val="32"/>
          <w:szCs w:val="32"/>
        </w:rPr>
        <w:t>19</w:t>
      </w:r>
      <w:r>
        <w:rPr>
          <w:rFonts w:hint="eastAsia" w:eastAsia="方正仿宋_GBK" w:cs="方正仿宋_GBK"/>
          <w:sz w:val="32"/>
          <w:szCs w:val="32"/>
        </w:rPr>
        <w:t>号</w:t>
      </w:r>
    </w:p>
    <w:p>
      <w:pPr>
        <w:snapToGrid w:val="0"/>
        <w:spacing w:line="560" w:lineRule="exact"/>
        <w:jc w:val="left"/>
        <w:rPr>
          <w:rFonts w:hint="eastAsia" w:ascii="方正仿宋_GBK" w:eastAsia="方正仿宋_GBK"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jc w:val="left"/>
        <w:textAlignment w:val="auto"/>
        <w:rPr>
          <w:rFonts w:ascii="Times New Roman" w:hAnsi="Times New Roman" w:eastAsia="方正仿宋_GBK" w:cs="宋体"/>
          <w:kern w:val="0"/>
          <w:sz w:val="32"/>
          <w:szCs w:val="32"/>
          <w:lang w:val="zh-CN"/>
        </w:rPr>
      </w:pPr>
      <w:r>
        <w:rPr>
          <w:rFonts w:hint="eastAsia" w:ascii="方正仿宋_GBK" w:eastAsia="方正仿宋_GBK" w:cs="Times New Roman"/>
          <w:color w:val="000000"/>
          <w:sz w:val="32"/>
          <w:szCs w:val="32"/>
        </w:rPr>
        <w:t>各区县（自治县）医疗保障局，高新区政务服务和社会事务中心、 万盛经开区医疗保障局</w:t>
      </w:r>
      <w:r>
        <w:rPr>
          <w:rFonts w:hint="eastAsia" w:ascii="Times New Roman" w:hAnsi="Times New Roman" w:eastAsia="方正仿宋_GBK" w:cs="宋体"/>
          <w:kern w:val="0"/>
          <w:sz w:val="32"/>
          <w:szCs w:val="32"/>
          <w:lang w:val="zh-CN"/>
        </w:rPr>
        <w:t>，局机关各处室、局属事业单位，有关单位：</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ascii="Times New Roman" w:hAnsi="Times New Roman" w:eastAsia="方正仿宋_GBK" w:cs="宋体"/>
          <w:kern w:val="0"/>
          <w:sz w:val="32"/>
          <w:szCs w:val="32"/>
          <w:lang w:val="zh-CN"/>
        </w:rPr>
      </w:pPr>
      <w:r>
        <w:rPr>
          <w:rFonts w:hint="eastAsia" w:ascii="Times New Roman" w:hAnsi="Times New Roman" w:eastAsia="方正仿宋_GBK" w:cs="宋体"/>
          <w:kern w:val="0"/>
          <w:sz w:val="32"/>
          <w:szCs w:val="32"/>
          <w:lang w:val="zh-CN"/>
        </w:rPr>
        <w:t>根据《重庆市规范性文件管理条例》《重庆市行政规范性文件管理办法》（重庆市人民政府令第329号）有关规定，经市医保局党组2026年第24次会议集体审议通过，决定将《重庆市医疗保障局重庆市财政局重庆市卫生健康委员会关于印发</w:t>
      </w:r>
      <w:r>
        <w:rPr>
          <w:rFonts w:hint="eastAsia" w:ascii="方正仿宋_GBK" w:hAnsi="Times New Roman" w:eastAsia="方正仿宋_GBK" w:cs="宋体"/>
          <w:kern w:val="0"/>
          <w:sz w:val="32"/>
          <w:szCs w:val="32"/>
          <w:lang w:val="zh-CN"/>
        </w:rPr>
        <w:t>〈</w:t>
      </w:r>
      <w:r>
        <w:rPr>
          <w:rFonts w:hint="eastAsia" w:ascii="Times New Roman" w:hAnsi="Times New Roman" w:eastAsia="方正仿宋_GBK" w:cs="宋体"/>
          <w:kern w:val="0"/>
          <w:sz w:val="32"/>
          <w:szCs w:val="32"/>
          <w:lang w:val="zh-CN"/>
        </w:rPr>
        <w:t>重庆市医院日间手术基本医疗保险试点工作方案</w:t>
      </w:r>
      <w:r>
        <w:rPr>
          <w:rFonts w:hint="eastAsia" w:ascii="方正仿宋_GBK" w:hAnsi="Times New Roman" w:eastAsia="方正仿宋_GBK" w:cs="宋体"/>
          <w:kern w:val="0"/>
          <w:sz w:val="32"/>
          <w:szCs w:val="32"/>
          <w:lang w:val="zh-CN"/>
        </w:rPr>
        <w:t>〉</w:t>
      </w:r>
      <w:r>
        <w:rPr>
          <w:rFonts w:hint="eastAsia" w:ascii="Times New Roman" w:hAnsi="Times New Roman" w:eastAsia="方正仿宋_GBK" w:cs="宋体"/>
          <w:kern w:val="0"/>
          <w:sz w:val="32"/>
          <w:szCs w:val="32"/>
          <w:lang w:val="zh-CN"/>
        </w:rPr>
        <w:t>的通知》（渝医保发〔2019〕2号）等6件行政规范性文件予以废止（具体文件目录见附件）。</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ascii="Times New Roman" w:hAnsi="Times New Roman" w:eastAsia="方正仿宋_GBK" w:cs="宋体"/>
          <w:kern w:val="0"/>
          <w:sz w:val="32"/>
          <w:szCs w:val="32"/>
          <w:lang w:val="zh-CN"/>
        </w:rPr>
      </w:pPr>
      <w:r>
        <w:rPr>
          <w:rFonts w:hint="eastAsia" w:ascii="Times New Roman" w:hAnsi="Times New Roman" w:eastAsia="方正仿宋_GBK" w:cs="宋体"/>
          <w:kern w:val="0"/>
          <w:sz w:val="32"/>
          <w:szCs w:val="32"/>
          <w:lang w:val="zh-CN"/>
        </w:rPr>
        <w:t>本决定自公布之日起实施。</w:t>
      </w:r>
    </w:p>
    <w:p>
      <w:pPr>
        <w:keepNext w:val="0"/>
        <w:keepLines w:val="0"/>
        <w:pageBreakBefore w:val="0"/>
        <w:widowControl w:val="0"/>
        <w:kinsoku/>
        <w:wordWrap/>
        <w:overflowPunct/>
        <w:topLinePunct w:val="0"/>
        <w:autoSpaceDE/>
        <w:autoSpaceDN/>
        <w:bidi w:val="0"/>
        <w:adjustRightInd/>
        <w:snapToGrid w:val="0"/>
        <w:spacing w:line="600" w:lineRule="exact"/>
        <w:jc w:val="left"/>
        <w:textAlignment w:val="auto"/>
        <w:rPr>
          <w:rFonts w:ascii="Times New Roman" w:hAnsi="Times New Roman" w:eastAsia="方正仿宋_GBK" w:cs="宋体"/>
          <w:kern w:val="0"/>
          <w:sz w:val="32"/>
          <w:szCs w:val="32"/>
          <w:lang w:val="zh-CN"/>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ascii="Times New Roman" w:hAnsi="Times New Roman" w:eastAsia="方正仿宋_GBK" w:cs="宋体"/>
          <w:kern w:val="0"/>
          <w:sz w:val="32"/>
          <w:szCs w:val="32"/>
          <w:lang w:val="zh-CN"/>
        </w:rPr>
      </w:pPr>
      <w:r>
        <w:rPr>
          <w:rFonts w:hint="eastAsia" w:ascii="Times New Roman" w:hAnsi="Times New Roman" w:eastAsia="方正仿宋_GBK" w:cs="宋体"/>
          <w:kern w:val="0"/>
          <w:sz w:val="32"/>
          <w:szCs w:val="32"/>
          <w:lang w:val="zh-CN"/>
        </w:rPr>
        <w:t>附件：废止的行政规范性文件目录（6件）</w:t>
      </w:r>
    </w:p>
    <w:p>
      <w:pPr>
        <w:keepNext w:val="0"/>
        <w:keepLines w:val="0"/>
        <w:pageBreakBefore w:val="0"/>
        <w:widowControl w:val="0"/>
        <w:kinsoku/>
        <w:wordWrap/>
        <w:overflowPunct/>
        <w:topLinePunct w:val="0"/>
        <w:autoSpaceDE/>
        <w:autoSpaceDN/>
        <w:bidi w:val="0"/>
        <w:adjustRightInd/>
        <w:snapToGrid w:val="0"/>
        <w:spacing w:line="600" w:lineRule="exact"/>
        <w:jc w:val="left"/>
        <w:textAlignment w:val="auto"/>
        <w:rPr>
          <w:rFonts w:hint="eastAsia" w:ascii="Times New Roman" w:hAnsi="Times New Roman" w:eastAsia="方正仿宋_GBK" w:cs="宋体"/>
          <w:kern w:val="0"/>
          <w:sz w:val="32"/>
          <w:szCs w:val="32"/>
          <w:lang w:val="zh-CN"/>
        </w:rPr>
      </w:pPr>
    </w:p>
    <w:p>
      <w:pPr>
        <w:keepNext w:val="0"/>
        <w:keepLines w:val="0"/>
        <w:pageBreakBefore w:val="0"/>
        <w:widowControl w:val="0"/>
        <w:kinsoku/>
        <w:wordWrap/>
        <w:overflowPunct/>
        <w:topLinePunct w:val="0"/>
        <w:autoSpaceDE/>
        <w:autoSpaceDN/>
        <w:bidi w:val="0"/>
        <w:adjustRightInd/>
        <w:snapToGrid w:val="0"/>
        <w:spacing w:line="600" w:lineRule="exact"/>
        <w:jc w:val="left"/>
        <w:textAlignment w:val="auto"/>
        <w:rPr>
          <w:rFonts w:hint="eastAsia" w:ascii="Times New Roman" w:hAnsi="Times New Roman" w:eastAsia="方正仿宋_GBK" w:cs="宋体"/>
          <w:kern w:val="0"/>
          <w:sz w:val="32"/>
          <w:szCs w:val="32"/>
          <w:lang w:val="zh-CN"/>
        </w:rPr>
      </w:pPr>
    </w:p>
    <w:p>
      <w:pPr>
        <w:keepNext w:val="0"/>
        <w:keepLines w:val="0"/>
        <w:pageBreakBefore w:val="0"/>
        <w:widowControl w:val="0"/>
        <w:kinsoku/>
        <w:wordWrap/>
        <w:overflowPunct/>
        <w:topLinePunct w:val="0"/>
        <w:autoSpaceDE/>
        <w:autoSpaceDN/>
        <w:bidi w:val="0"/>
        <w:adjustRightInd/>
        <w:snapToGrid w:val="0"/>
        <w:spacing w:line="600" w:lineRule="exact"/>
        <w:ind w:right="840" w:rightChars="400" w:firstLine="640" w:firstLineChars="200"/>
        <w:jc w:val="right"/>
        <w:textAlignment w:val="auto"/>
        <w:rPr>
          <w:rFonts w:ascii="Times New Roman" w:hAnsi="Times New Roman" w:eastAsia="方正仿宋_GBK" w:cs="宋体"/>
          <w:kern w:val="0"/>
          <w:sz w:val="32"/>
          <w:szCs w:val="32"/>
          <w:lang w:val="zh-CN"/>
        </w:rPr>
      </w:pPr>
      <w:r>
        <w:rPr>
          <w:rFonts w:hint="eastAsia" w:ascii="Times New Roman" w:hAnsi="Times New Roman" w:eastAsia="方正仿宋_GBK" w:cs="宋体"/>
          <w:kern w:val="0"/>
          <w:sz w:val="32"/>
          <w:szCs w:val="32"/>
          <w:lang w:val="zh-CN"/>
        </w:rPr>
        <w:t xml:space="preserve">                  重庆市医疗保障局</w:t>
      </w:r>
    </w:p>
    <w:p>
      <w:pPr>
        <w:keepNext w:val="0"/>
        <w:keepLines w:val="0"/>
        <w:pageBreakBefore w:val="0"/>
        <w:widowControl w:val="0"/>
        <w:kinsoku/>
        <w:wordWrap/>
        <w:overflowPunct/>
        <w:topLinePunct w:val="0"/>
        <w:autoSpaceDE/>
        <w:autoSpaceDN/>
        <w:bidi w:val="0"/>
        <w:adjustRightInd/>
        <w:snapToGrid w:val="0"/>
        <w:spacing w:line="600" w:lineRule="exact"/>
        <w:ind w:right="840" w:rightChars="400" w:firstLine="640" w:firstLineChars="200"/>
        <w:jc w:val="right"/>
        <w:textAlignment w:val="auto"/>
        <w:rPr>
          <w:rFonts w:ascii="Times New Roman" w:hAnsi="Times New Roman" w:eastAsia="方正仿宋_GBK" w:cs="宋体"/>
          <w:kern w:val="0"/>
          <w:sz w:val="32"/>
          <w:szCs w:val="32"/>
          <w:lang w:val="zh-CN"/>
        </w:rPr>
      </w:pPr>
      <w:r>
        <w:rPr>
          <w:rFonts w:hint="eastAsia" w:ascii="Times New Roman" w:hAnsi="Times New Roman" w:eastAsia="方正仿宋_GBK" w:cs="宋体"/>
          <w:kern w:val="0"/>
          <w:sz w:val="32"/>
          <w:szCs w:val="32"/>
          <w:lang w:val="zh-CN"/>
        </w:rPr>
        <w:t xml:space="preserve">                        2026年8月</w:t>
      </w:r>
      <w:r>
        <w:rPr>
          <w:rFonts w:hint="default" w:ascii="Times New Roman" w:hAnsi="Times New Roman" w:eastAsia="方正仿宋_GBK" w:cs="宋体"/>
          <w:kern w:val="0"/>
          <w:sz w:val="32"/>
          <w:szCs w:val="32"/>
          <w:lang w:val="en-US"/>
        </w:rPr>
        <w:t>19</w:t>
      </w:r>
      <w:r>
        <w:rPr>
          <w:rFonts w:hint="eastAsia" w:ascii="Times New Roman" w:hAnsi="Times New Roman" w:eastAsia="方正仿宋_GBK" w:cs="宋体"/>
          <w:kern w:val="0"/>
          <w:sz w:val="32"/>
          <w:szCs w:val="32"/>
          <w:lang w:val="zh-CN"/>
        </w:rPr>
        <w:t>日</w:t>
      </w:r>
    </w:p>
    <w:p>
      <w:pPr>
        <w:keepNext w:val="0"/>
        <w:keepLines w:val="0"/>
        <w:pageBreakBefore w:val="0"/>
        <w:widowControl w:val="0"/>
        <w:kinsoku/>
        <w:wordWrap/>
        <w:overflowPunct/>
        <w:topLinePunct w:val="0"/>
        <w:autoSpaceDE/>
        <w:autoSpaceDN/>
        <w:bidi w:val="0"/>
        <w:adjustRightInd/>
        <w:snapToGrid w:val="0"/>
        <w:spacing w:line="600" w:lineRule="exact"/>
        <w:jc w:val="left"/>
        <w:textAlignment w:val="auto"/>
        <w:rPr>
          <w:rFonts w:hint="eastAsia" w:ascii="Times New Roman" w:hAnsi="Times New Roman" w:eastAsia="方正黑体_GBK" w:cs="宋体"/>
          <w:kern w:val="0"/>
          <w:sz w:val="32"/>
          <w:szCs w:val="32"/>
        </w:rPr>
      </w:pPr>
    </w:p>
    <w:p>
      <w:pPr>
        <w:snapToGrid w:val="0"/>
        <w:spacing w:line="560" w:lineRule="exact"/>
        <w:jc w:val="left"/>
        <w:rPr>
          <w:rFonts w:hint="eastAsia" w:ascii="Times New Roman" w:hAnsi="Times New Roman" w:eastAsia="方正黑体_GBK" w:cs="宋体"/>
          <w:kern w:val="0"/>
          <w:sz w:val="32"/>
          <w:szCs w:val="32"/>
        </w:rPr>
      </w:pPr>
    </w:p>
    <w:p>
      <w:pPr>
        <w:snapToGrid w:val="0"/>
        <w:spacing w:line="560" w:lineRule="exact"/>
        <w:jc w:val="left"/>
        <w:rPr>
          <w:rFonts w:hint="eastAsia" w:ascii="Times New Roman" w:hAnsi="Times New Roman" w:eastAsia="方正黑体_GBK" w:cs="宋体"/>
          <w:kern w:val="0"/>
          <w:sz w:val="32"/>
          <w:szCs w:val="32"/>
        </w:rPr>
      </w:pPr>
    </w:p>
    <w:p>
      <w:pPr>
        <w:snapToGrid w:val="0"/>
        <w:spacing w:line="560" w:lineRule="exact"/>
        <w:jc w:val="left"/>
        <w:rPr>
          <w:rFonts w:hint="eastAsia" w:ascii="Times New Roman" w:hAnsi="Times New Roman" w:eastAsia="方正黑体_GBK" w:cs="宋体"/>
          <w:kern w:val="0"/>
          <w:sz w:val="32"/>
          <w:szCs w:val="32"/>
        </w:rPr>
      </w:pPr>
    </w:p>
    <w:p>
      <w:pPr>
        <w:snapToGrid w:val="0"/>
        <w:spacing w:line="560" w:lineRule="exact"/>
        <w:jc w:val="left"/>
        <w:rPr>
          <w:rFonts w:hint="eastAsia" w:ascii="Times New Roman" w:hAnsi="Times New Roman" w:eastAsia="方正黑体_GBK" w:cs="宋体"/>
          <w:kern w:val="0"/>
          <w:sz w:val="32"/>
          <w:szCs w:val="32"/>
        </w:rPr>
      </w:pPr>
    </w:p>
    <w:p>
      <w:pPr>
        <w:snapToGrid w:val="0"/>
        <w:spacing w:line="560" w:lineRule="exact"/>
        <w:jc w:val="left"/>
        <w:rPr>
          <w:rFonts w:hint="eastAsia" w:ascii="Times New Roman" w:hAnsi="Times New Roman" w:eastAsia="方正黑体_GBK" w:cs="宋体"/>
          <w:kern w:val="0"/>
          <w:sz w:val="32"/>
          <w:szCs w:val="32"/>
        </w:rPr>
      </w:pPr>
    </w:p>
    <w:p>
      <w:pPr>
        <w:snapToGrid w:val="0"/>
        <w:spacing w:line="560" w:lineRule="exact"/>
        <w:jc w:val="left"/>
        <w:rPr>
          <w:rFonts w:hint="eastAsia" w:ascii="Times New Roman" w:hAnsi="Times New Roman" w:eastAsia="方正黑体_GBK" w:cs="宋体"/>
          <w:kern w:val="0"/>
          <w:sz w:val="32"/>
          <w:szCs w:val="32"/>
        </w:rPr>
      </w:pPr>
    </w:p>
    <w:p>
      <w:pPr>
        <w:snapToGrid w:val="0"/>
        <w:spacing w:line="560" w:lineRule="exact"/>
        <w:jc w:val="left"/>
        <w:rPr>
          <w:rFonts w:hint="eastAsia" w:ascii="Times New Roman" w:hAnsi="Times New Roman" w:eastAsia="方正黑体_GBK" w:cs="宋体"/>
          <w:kern w:val="0"/>
          <w:sz w:val="32"/>
          <w:szCs w:val="32"/>
        </w:rPr>
      </w:pPr>
    </w:p>
    <w:p>
      <w:pPr>
        <w:snapToGrid w:val="0"/>
        <w:spacing w:line="560" w:lineRule="exact"/>
        <w:jc w:val="left"/>
        <w:rPr>
          <w:rFonts w:hint="eastAsia" w:ascii="Times New Roman" w:hAnsi="Times New Roman" w:eastAsia="方正黑体_GBK" w:cs="宋体"/>
          <w:kern w:val="0"/>
          <w:sz w:val="32"/>
          <w:szCs w:val="32"/>
        </w:rPr>
      </w:pPr>
    </w:p>
    <w:p>
      <w:pPr>
        <w:snapToGrid w:val="0"/>
        <w:spacing w:line="560" w:lineRule="exact"/>
        <w:jc w:val="left"/>
        <w:rPr>
          <w:rFonts w:hint="eastAsia" w:ascii="Times New Roman" w:hAnsi="Times New Roman" w:eastAsia="方正黑体_GBK" w:cs="宋体"/>
          <w:kern w:val="0"/>
          <w:sz w:val="32"/>
          <w:szCs w:val="32"/>
        </w:rPr>
      </w:pPr>
    </w:p>
    <w:p>
      <w:pPr>
        <w:snapToGrid w:val="0"/>
        <w:spacing w:line="560" w:lineRule="exact"/>
        <w:jc w:val="left"/>
        <w:rPr>
          <w:rFonts w:hint="eastAsia" w:ascii="Times New Roman" w:hAnsi="Times New Roman" w:eastAsia="方正黑体_GBK" w:cs="宋体"/>
          <w:kern w:val="0"/>
          <w:sz w:val="32"/>
          <w:szCs w:val="32"/>
        </w:rPr>
      </w:pPr>
    </w:p>
    <w:p>
      <w:pPr>
        <w:snapToGrid w:val="0"/>
        <w:spacing w:line="560" w:lineRule="exact"/>
        <w:jc w:val="left"/>
        <w:rPr>
          <w:rFonts w:hint="eastAsia" w:ascii="Times New Roman" w:hAnsi="Times New Roman" w:eastAsia="方正黑体_GBK" w:cs="宋体"/>
          <w:kern w:val="0"/>
          <w:sz w:val="32"/>
          <w:szCs w:val="32"/>
        </w:rPr>
      </w:pPr>
    </w:p>
    <w:p>
      <w:pPr>
        <w:snapToGrid w:val="0"/>
        <w:spacing w:line="560" w:lineRule="exact"/>
        <w:jc w:val="left"/>
        <w:rPr>
          <w:rFonts w:hint="eastAsia" w:ascii="Times New Roman" w:hAnsi="Times New Roman" w:eastAsia="方正黑体_GBK" w:cs="宋体"/>
          <w:kern w:val="0"/>
          <w:sz w:val="32"/>
          <w:szCs w:val="32"/>
        </w:rPr>
      </w:pPr>
    </w:p>
    <w:p>
      <w:pPr>
        <w:pStyle w:val="2"/>
        <w:rPr>
          <w:rFonts w:hint="eastAsia"/>
        </w:rPr>
      </w:pPr>
      <w:bookmarkStart w:id="2" w:name="_GoBack"/>
      <w:bookmarkEnd w:id="2"/>
    </w:p>
    <w:p>
      <w:pPr>
        <w:snapToGrid w:val="0"/>
        <w:spacing w:line="560" w:lineRule="exact"/>
        <w:jc w:val="left"/>
        <w:rPr>
          <w:rFonts w:hint="eastAsia" w:ascii="Times New Roman" w:hAnsi="Times New Roman" w:eastAsia="方正黑体_GBK" w:cs="宋体"/>
          <w:kern w:val="0"/>
          <w:sz w:val="32"/>
          <w:szCs w:val="32"/>
        </w:rPr>
      </w:pPr>
    </w:p>
    <w:p>
      <w:pPr>
        <w:snapToGrid w:val="0"/>
        <w:spacing w:line="560" w:lineRule="exact"/>
        <w:jc w:val="left"/>
        <w:rPr>
          <w:rFonts w:ascii="Times New Roman" w:hAnsi="Times New Roman" w:eastAsia="方正黑体_GBK" w:cs="宋体"/>
          <w:kern w:val="0"/>
          <w:sz w:val="32"/>
          <w:szCs w:val="32"/>
        </w:rPr>
      </w:pPr>
      <w:r>
        <w:rPr>
          <w:rFonts w:hint="eastAsia" w:ascii="Times New Roman" w:hAnsi="Times New Roman" w:eastAsia="方正黑体_GBK" w:cs="宋体"/>
          <w:kern w:val="0"/>
          <w:sz w:val="32"/>
          <w:szCs w:val="32"/>
        </w:rPr>
        <w:t>附件</w:t>
      </w:r>
    </w:p>
    <w:p>
      <w:pPr>
        <w:snapToGrid w:val="0"/>
        <w:spacing w:line="600" w:lineRule="exact"/>
        <w:jc w:val="center"/>
        <w:rPr>
          <w:rFonts w:ascii="Times New Roman" w:hAnsi="Times New Roman" w:eastAsia="方正小标宋_GBK" w:cs="宋体"/>
          <w:kern w:val="0"/>
          <w:sz w:val="44"/>
          <w:szCs w:val="44"/>
          <w:lang w:val="zh-CN"/>
        </w:rPr>
      </w:pPr>
    </w:p>
    <w:p>
      <w:pPr>
        <w:snapToGrid w:val="0"/>
        <w:spacing w:line="600" w:lineRule="exact"/>
        <w:jc w:val="center"/>
        <w:rPr>
          <w:rFonts w:ascii="Times New Roman" w:hAnsi="Times New Roman" w:eastAsia="方正小标宋_GBK" w:cs="宋体"/>
          <w:kern w:val="0"/>
          <w:sz w:val="44"/>
          <w:szCs w:val="44"/>
          <w:lang w:val="zh-CN"/>
        </w:rPr>
      </w:pPr>
      <w:r>
        <w:rPr>
          <w:rFonts w:hint="eastAsia" w:ascii="方正小标宋_GBK" w:hAnsi="方正小标宋_GBK" w:eastAsia="方正小标宋_GBK" w:cs="方正小标宋_GBK"/>
          <w:kern w:val="0"/>
          <w:sz w:val="44"/>
          <w:szCs w:val="44"/>
          <w:lang w:val="zh-CN"/>
        </w:rPr>
        <w:t>废止的行政规范性文件目录（6件）</w:t>
      </w:r>
    </w:p>
    <w:tbl>
      <w:tblPr>
        <w:tblStyle w:val="8"/>
        <w:tblW w:w="5674" w:type="pct"/>
        <w:jc w:val="center"/>
        <w:tblLayout w:type="autofit"/>
        <w:tblCellMar>
          <w:top w:w="0" w:type="dxa"/>
          <w:left w:w="108" w:type="dxa"/>
          <w:bottom w:w="0" w:type="dxa"/>
          <w:right w:w="108" w:type="dxa"/>
        </w:tblCellMar>
      </w:tblPr>
      <w:tblGrid>
        <w:gridCol w:w="536"/>
        <w:gridCol w:w="6249"/>
        <w:gridCol w:w="3497"/>
      </w:tblGrid>
      <w:tr>
        <w:tblPrEx>
          <w:tblCellMar>
            <w:top w:w="0" w:type="dxa"/>
            <w:left w:w="108" w:type="dxa"/>
            <w:bottom w:w="0" w:type="dxa"/>
            <w:right w:w="108" w:type="dxa"/>
          </w:tblCellMar>
        </w:tblPrEx>
        <w:trPr>
          <w:trHeight w:val="285" w:hRule="atLeast"/>
          <w:jc w:val="center"/>
        </w:trPr>
        <w:tc>
          <w:tcPr>
            <w:tcW w:w="260"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400" w:lineRule="exact"/>
              <w:jc w:val="center"/>
              <w:rPr>
                <w:rFonts w:hint="eastAsia" w:ascii="方正黑体_GBK" w:hAnsi="方正黑体_GBK" w:eastAsia="方正黑体_GBK" w:cs="方正黑体_GBK"/>
                <w:color w:val="000000"/>
                <w:kern w:val="0"/>
                <w:sz w:val="32"/>
                <w:szCs w:val="32"/>
              </w:rPr>
            </w:pPr>
            <w:r>
              <w:rPr>
                <w:rFonts w:hint="eastAsia" w:ascii="方正黑体_GBK" w:hAnsi="方正黑体_GBK" w:eastAsia="方正黑体_GBK" w:cs="方正黑体_GBK"/>
                <w:color w:val="000000"/>
                <w:kern w:val="0"/>
                <w:sz w:val="32"/>
                <w:szCs w:val="32"/>
              </w:rPr>
              <w:t>序号</w:t>
            </w:r>
          </w:p>
        </w:tc>
        <w:tc>
          <w:tcPr>
            <w:tcW w:w="3038" w:type="pct"/>
            <w:tcBorders>
              <w:top w:val="single" w:color="auto" w:sz="8" w:space="0"/>
              <w:left w:val="nil"/>
              <w:bottom w:val="single" w:color="auto" w:sz="8" w:space="0"/>
              <w:right w:val="single" w:color="auto" w:sz="8" w:space="0"/>
            </w:tcBorders>
            <w:shd w:val="clear" w:color="auto" w:fill="auto"/>
            <w:vAlign w:val="center"/>
          </w:tcPr>
          <w:p>
            <w:pPr>
              <w:widowControl/>
              <w:spacing w:line="400" w:lineRule="exact"/>
              <w:jc w:val="center"/>
              <w:rPr>
                <w:rFonts w:hint="eastAsia" w:ascii="方正黑体_GBK" w:hAnsi="方正黑体_GBK" w:eastAsia="方正黑体_GBK" w:cs="方正黑体_GBK"/>
                <w:color w:val="000000"/>
                <w:kern w:val="0"/>
                <w:sz w:val="32"/>
                <w:szCs w:val="32"/>
              </w:rPr>
            </w:pPr>
            <w:r>
              <w:rPr>
                <w:rFonts w:hint="eastAsia" w:ascii="方正黑体_GBK" w:hAnsi="方正黑体_GBK" w:eastAsia="方正黑体_GBK" w:cs="方正黑体_GBK"/>
                <w:color w:val="000000"/>
                <w:kern w:val="0"/>
                <w:sz w:val="32"/>
                <w:szCs w:val="32"/>
              </w:rPr>
              <w:t>文件名</w:t>
            </w:r>
          </w:p>
        </w:tc>
        <w:tc>
          <w:tcPr>
            <w:tcW w:w="1700" w:type="pct"/>
            <w:tcBorders>
              <w:top w:val="single" w:color="auto" w:sz="8" w:space="0"/>
              <w:left w:val="nil"/>
              <w:bottom w:val="single" w:color="auto" w:sz="8" w:space="0"/>
              <w:right w:val="single" w:color="auto" w:sz="8" w:space="0"/>
            </w:tcBorders>
            <w:shd w:val="clear" w:color="auto" w:fill="auto"/>
            <w:vAlign w:val="center"/>
          </w:tcPr>
          <w:p>
            <w:pPr>
              <w:widowControl/>
              <w:spacing w:line="400" w:lineRule="exact"/>
              <w:jc w:val="center"/>
              <w:rPr>
                <w:rFonts w:hint="eastAsia" w:ascii="方正黑体_GBK" w:hAnsi="方正黑体_GBK" w:eastAsia="方正黑体_GBK" w:cs="方正黑体_GBK"/>
                <w:color w:val="000000"/>
                <w:kern w:val="0"/>
                <w:sz w:val="32"/>
                <w:szCs w:val="32"/>
              </w:rPr>
            </w:pPr>
            <w:r>
              <w:rPr>
                <w:rFonts w:hint="eastAsia" w:ascii="方正黑体_GBK" w:hAnsi="方正黑体_GBK" w:eastAsia="方正黑体_GBK" w:cs="方正黑体_GBK"/>
                <w:color w:val="000000"/>
                <w:kern w:val="0"/>
                <w:sz w:val="32"/>
                <w:szCs w:val="32"/>
              </w:rPr>
              <w:t>文号</w:t>
            </w:r>
          </w:p>
        </w:tc>
      </w:tr>
      <w:tr>
        <w:tblPrEx>
          <w:tblCellMar>
            <w:top w:w="0" w:type="dxa"/>
            <w:left w:w="108" w:type="dxa"/>
            <w:bottom w:w="0" w:type="dxa"/>
            <w:right w:w="108" w:type="dxa"/>
          </w:tblCellMar>
        </w:tblPrEx>
        <w:trPr>
          <w:trHeight w:val="585" w:hRule="atLeast"/>
          <w:jc w:val="center"/>
        </w:trPr>
        <w:tc>
          <w:tcPr>
            <w:tcW w:w="26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w:t>
            </w:r>
          </w:p>
        </w:tc>
        <w:tc>
          <w:tcPr>
            <w:tcW w:w="3038"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重庆市医疗保障局重庆市财政局重庆市卫生健康委员会关于印发《重庆市医院日间手术基本医疗保险试点工作方案》的通知</w:t>
            </w:r>
          </w:p>
        </w:tc>
        <w:tc>
          <w:tcPr>
            <w:tcW w:w="170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渝医保发〔2019〕2号</w:t>
            </w:r>
          </w:p>
        </w:tc>
      </w:tr>
      <w:tr>
        <w:tblPrEx>
          <w:tblCellMar>
            <w:top w:w="0" w:type="dxa"/>
            <w:left w:w="108" w:type="dxa"/>
            <w:bottom w:w="0" w:type="dxa"/>
            <w:right w:w="108" w:type="dxa"/>
          </w:tblCellMar>
        </w:tblPrEx>
        <w:trPr>
          <w:trHeight w:val="944" w:hRule="atLeast"/>
          <w:jc w:val="center"/>
        </w:trPr>
        <w:tc>
          <w:tcPr>
            <w:tcW w:w="26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w:t>
            </w:r>
          </w:p>
        </w:tc>
        <w:tc>
          <w:tcPr>
            <w:tcW w:w="3038"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重庆市医疗保障局关于印发《重庆市城镇职工大额医疗互助保险和城乡居民大病保险业务考核办法（试行）》的通知</w:t>
            </w:r>
          </w:p>
        </w:tc>
        <w:tc>
          <w:tcPr>
            <w:tcW w:w="170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渝医保发〔2020〕19号</w:t>
            </w:r>
          </w:p>
        </w:tc>
      </w:tr>
      <w:tr>
        <w:tblPrEx>
          <w:tblCellMar>
            <w:top w:w="0" w:type="dxa"/>
            <w:left w:w="108" w:type="dxa"/>
            <w:bottom w:w="0" w:type="dxa"/>
            <w:right w:w="108" w:type="dxa"/>
          </w:tblCellMar>
        </w:tblPrEx>
        <w:trPr>
          <w:trHeight w:val="944" w:hRule="atLeast"/>
          <w:jc w:val="center"/>
        </w:trPr>
        <w:tc>
          <w:tcPr>
            <w:tcW w:w="26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w:t>
            </w:r>
          </w:p>
        </w:tc>
        <w:tc>
          <w:tcPr>
            <w:tcW w:w="3038"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重庆市医疗保障局关于印发重庆市医疗保障经办政务服务事项清单及重庆医保公共服务事项服务指南的通知</w:t>
            </w:r>
          </w:p>
        </w:tc>
        <w:tc>
          <w:tcPr>
            <w:tcW w:w="170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渝医保发〔2020〕55 号</w:t>
            </w:r>
          </w:p>
        </w:tc>
      </w:tr>
      <w:tr>
        <w:tblPrEx>
          <w:tblCellMar>
            <w:top w:w="0" w:type="dxa"/>
            <w:left w:w="108" w:type="dxa"/>
            <w:bottom w:w="0" w:type="dxa"/>
            <w:right w:w="108" w:type="dxa"/>
          </w:tblCellMar>
        </w:tblPrEx>
        <w:trPr>
          <w:trHeight w:val="944" w:hRule="atLeast"/>
          <w:jc w:val="center"/>
        </w:trPr>
        <w:tc>
          <w:tcPr>
            <w:tcW w:w="26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w:t>
            </w:r>
          </w:p>
        </w:tc>
        <w:tc>
          <w:tcPr>
            <w:tcW w:w="3038"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重庆市医疗保障局关于国家医保谈判药品零售药店供给定点管理的通知</w:t>
            </w:r>
          </w:p>
        </w:tc>
        <w:tc>
          <w:tcPr>
            <w:tcW w:w="170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渝医保发〔2021〕1号</w:t>
            </w:r>
          </w:p>
        </w:tc>
      </w:tr>
      <w:tr>
        <w:tblPrEx>
          <w:tblCellMar>
            <w:top w:w="0" w:type="dxa"/>
            <w:left w:w="108" w:type="dxa"/>
            <w:bottom w:w="0" w:type="dxa"/>
            <w:right w:w="108" w:type="dxa"/>
          </w:tblCellMar>
        </w:tblPrEx>
        <w:trPr>
          <w:trHeight w:val="944" w:hRule="atLeast"/>
          <w:jc w:val="center"/>
        </w:trPr>
        <w:tc>
          <w:tcPr>
            <w:tcW w:w="26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5</w:t>
            </w:r>
          </w:p>
        </w:tc>
        <w:tc>
          <w:tcPr>
            <w:tcW w:w="3038"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重庆市医疗保障局关于基本医疗保险待遇享受时间有关问题的通知</w:t>
            </w:r>
          </w:p>
        </w:tc>
        <w:tc>
          <w:tcPr>
            <w:tcW w:w="170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渝医保发〔2022〕7号</w:t>
            </w:r>
          </w:p>
        </w:tc>
      </w:tr>
      <w:tr>
        <w:tblPrEx>
          <w:tblCellMar>
            <w:top w:w="0" w:type="dxa"/>
            <w:left w:w="108" w:type="dxa"/>
            <w:bottom w:w="0" w:type="dxa"/>
            <w:right w:w="108" w:type="dxa"/>
          </w:tblCellMar>
        </w:tblPrEx>
        <w:trPr>
          <w:trHeight w:val="944" w:hRule="atLeast"/>
          <w:jc w:val="center"/>
        </w:trPr>
        <w:tc>
          <w:tcPr>
            <w:tcW w:w="26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6</w:t>
            </w:r>
          </w:p>
        </w:tc>
        <w:tc>
          <w:tcPr>
            <w:tcW w:w="3038"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重庆市医疗保障局重庆市财政局国家税务总局重庆市税务局关于做好2024年城乡居民基本医疗保障工作的通知</w:t>
            </w:r>
          </w:p>
        </w:tc>
        <w:tc>
          <w:tcPr>
            <w:tcW w:w="170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渝医保发〔2024〕32号</w:t>
            </w:r>
          </w:p>
        </w:tc>
      </w:tr>
    </w:tbl>
    <w:p>
      <w:pPr>
        <w:rPr>
          <w:rFonts w:ascii="方正仿宋_GBK" w:eastAsia="方正仿宋_GBK" w:cs="Times New Roman"/>
        </w:rPr>
      </w:pPr>
    </w:p>
    <w:p>
      <w:pPr>
        <w:widowControl/>
        <w:jc w:val="left"/>
        <w:rPr>
          <w:rFonts w:ascii="方正仿宋_GBK" w:eastAsia="方正仿宋_GBK" w:cs="Times New Roman"/>
          <w:vanish/>
        </w:rPr>
      </w:pPr>
      <w:r>
        <w:rPr>
          <w:rFonts w:ascii="方正仿宋_GBK" w:eastAsia="方正仿宋_GBK" w:cs="Times New Roman"/>
          <w:vanish/>
        </w:rPr>
        <w:br w:type="page"/>
      </w:r>
    </w:p>
    <w:bookmarkEnd w:id="0"/>
    <w:p>
      <w:pPr>
        <w:rPr>
          <w:rFonts w:ascii="方正仿宋_GBK" w:eastAsia="方正仿宋_GBK" w:cs="Times New Roman"/>
          <w:vanish/>
        </w:rPr>
      </w:pPr>
    </w:p>
    <w:p>
      <w:pPr>
        <w:rPr>
          <w:rFonts w:ascii="Times New Roman" w:hAnsi="Times New Roman" w:eastAsia="方正小标宋_GBK" w:cs="方正小标宋_GBK"/>
          <w:vanish/>
          <w:sz w:val="44"/>
          <w:szCs w:val="44"/>
        </w:rPr>
      </w:pPr>
    </w:p>
    <w:p>
      <w:pPr>
        <w:snapToGrid w:val="0"/>
        <w:spacing w:line="540" w:lineRule="exact"/>
        <w:rPr>
          <w:rFonts w:ascii="Times New Roman" w:hAnsi="Times New Roman" w:eastAsia="方正小标宋_GBK" w:cs="方正小标宋_GBK"/>
          <w:vanish/>
          <w:sz w:val="44"/>
          <w:szCs w:val="44"/>
        </w:rPr>
      </w:pPr>
    </w:p>
    <w:p>
      <w:pPr>
        <w:rPr>
          <w:rFonts w:ascii="方正仿宋_GBK" w:eastAsia="方正仿宋_GBK" w:cs="Times New Roman"/>
          <w:b/>
          <w:bCs/>
          <w:vanish/>
          <w:sz w:val="32"/>
          <w:szCs w:val="32"/>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rPr>
          <w:rFonts w:eastAsia="宋体" w:cs="Times New Roman"/>
          <w:vanish/>
        </w:rPr>
      </w:pPr>
    </w:p>
    <w:p>
      <w:pPr>
        <w:widowControl w:val="0"/>
        <w:snapToGrid w:val="0"/>
        <w:spacing w:line="144" w:lineRule="auto"/>
        <w:jc w:val="center"/>
        <w:rPr>
          <w:rFonts w:ascii="Calibri" w:hAnsi="Calibri" w:eastAsia="方正仿宋_GBK" w:cs="方正仿宋_GBK"/>
          <w:vanish/>
          <w:kern w:val="2"/>
          <w:sz w:val="32"/>
          <w:szCs w:val="22"/>
          <w:lang w:val="zh-CN" w:eastAsia="zh-CN" w:bidi="ar-SA"/>
        </w:rPr>
      </w:pPr>
    </w:p>
    <w:p>
      <w:pPr>
        <w:rPr>
          <w:rFonts w:eastAsia="宋体" w:cs="Times New Roman"/>
          <w:vanish/>
          <w:sz w:val="21"/>
        </w:rPr>
      </w:pPr>
    </w:p>
    <w:p>
      <w:pPr>
        <w:rPr>
          <w:rFonts w:eastAsia="宋体" w:cs="Times New Roman"/>
          <w:vanish/>
          <w:sz w:val="21"/>
        </w:rPr>
      </w:pPr>
    </w:p>
    <w:p>
      <w:pPr>
        <w:rPr>
          <w:rFonts w:eastAsia="宋体" w:cs="Times New Roman"/>
          <w:vanish/>
          <w:sz w:val="21"/>
        </w:rPr>
      </w:pPr>
    </w:p>
    <w:p>
      <w:pPr>
        <w:rPr>
          <w:rFonts w:eastAsia="宋体" w:cs="Times New Roman"/>
          <w:vanish/>
          <w:sz w:val="21"/>
        </w:rPr>
      </w:pPr>
    </w:p>
    <w:p>
      <w:pPr>
        <w:rPr>
          <w:rFonts w:eastAsia="宋体" w:cs="Times New Roman"/>
          <w:vanish/>
          <w:sz w:val="21"/>
        </w:rPr>
      </w:pPr>
    </w:p>
    <w:p>
      <w:pPr>
        <w:rPr>
          <w:rFonts w:eastAsia="宋体" w:cs="Times New Roman"/>
          <w:vanish/>
          <w:sz w:val="21"/>
        </w:rPr>
      </w:pPr>
    </w:p>
    <w:p>
      <w:pPr>
        <w:rPr>
          <w:rFonts w:eastAsia="宋体" w:cs="Times New Roman"/>
          <w:vanish/>
          <w:sz w:val="21"/>
        </w:rPr>
      </w:pPr>
    </w:p>
    <w:p>
      <w:pPr>
        <w:rPr>
          <w:rFonts w:eastAsia="宋体" w:cs="Times New Roman"/>
          <w:vanish/>
          <w:sz w:val="21"/>
        </w:rPr>
      </w:pPr>
    </w:p>
    <w:p>
      <w:pPr>
        <w:rPr>
          <w:rFonts w:eastAsia="宋体" w:cs="Times New Roman"/>
          <w:vanish/>
          <w:sz w:val="21"/>
        </w:rPr>
      </w:pPr>
    </w:p>
    <w:p>
      <w:pPr>
        <w:rPr>
          <w:rFonts w:eastAsia="宋体" w:cs="Times New Roman"/>
          <w:vanish/>
          <w:sz w:val="21"/>
        </w:rPr>
      </w:pPr>
    </w:p>
    <w:p>
      <w:pPr>
        <w:rPr>
          <w:rFonts w:eastAsia="宋体" w:cs="Times New Roman"/>
          <w:vanish/>
          <w:sz w:val="21"/>
        </w:rPr>
      </w:pPr>
    </w:p>
    <w:p>
      <w:pPr>
        <w:rPr>
          <w:rFonts w:eastAsia="宋体" w:cs="Times New Roman"/>
          <w:vanish/>
          <w:sz w:val="21"/>
        </w:rPr>
      </w:pPr>
    </w:p>
    <w:p>
      <w:pPr>
        <w:rPr>
          <w:rFonts w:eastAsia="宋体" w:cs="Times New Roman"/>
          <w:vanish/>
          <w:sz w:val="21"/>
        </w:rPr>
      </w:pPr>
    </w:p>
    <w:p>
      <w:pPr>
        <w:rPr>
          <w:rFonts w:eastAsia="宋体" w:cs="Times New Roman"/>
          <w:vanish/>
          <w:sz w:val="21"/>
        </w:rPr>
      </w:pPr>
    </w:p>
    <w:p>
      <w:pPr>
        <w:jc w:val="right"/>
        <w:rPr>
          <w:rFonts w:eastAsia="宋体" w:cs="Times New Roman"/>
          <w:vanish/>
          <w:sz w:val="21"/>
        </w:rPr>
      </w:pPr>
    </w:p>
    <w:p>
      <w:pPr>
        <w:rPr>
          <w:rFonts w:eastAsia="宋体" w:cs="Times New Roman"/>
          <w:vanish/>
          <w:sz w:val="21"/>
        </w:rPr>
      </w:pPr>
    </w:p>
    <w:p>
      <w:pPr>
        <w:rPr>
          <w:rFonts w:eastAsia="宋体" w:cs="Times New Roman"/>
          <w:vanish/>
          <w:sz w:val="21"/>
        </w:rPr>
      </w:pPr>
    </w:p>
    <w:p>
      <w:pPr>
        <w:rPr>
          <w:rFonts w:eastAsia="宋体" w:cs="Times New Roman"/>
          <w:vanish/>
          <w:sz w:val="21"/>
        </w:rPr>
      </w:pPr>
    </w:p>
    <w:p>
      <w:pPr>
        <w:rPr>
          <w:rFonts w:ascii="方正仿宋_GBK" w:eastAsia="方正仿宋_GBK" w:cs="Times New Roman"/>
          <w:vanish/>
          <w:sz w:val="21"/>
        </w:rPr>
      </w:pPr>
    </w:p>
    <w:p>
      <w:pPr>
        <w:rPr>
          <w:rFonts w:eastAsia="宋体" w:cs="Times New Roman"/>
          <w:vanish/>
          <w:sz w:val="21"/>
        </w:rPr>
      </w:pPr>
    </w:p>
    <w:p>
      <w:pPr>
        <w:pStyle w:val="2"/>
        <w:rPr>
          <w:rFonts w:hint="eastAsia"/>
          <w:vanish/>
          <w:lang w:val="en-US" w:eastAsia="zh-CN"/>
        </w:rPr>
      </w:pPr>
    </w:p>
    <w:p>
      <w:pPr>
        <w:rPr>
          <w:rFonts w:hint="eastAsia"/>
          <w:vanish/>
          <w:lang w:val="en-US" w:eastAsia="zh-CN"/>
        </w:rPr>
      </w:pPr>
    </w:p>
    <w:p>
      <w:pPr>
        <w:pStyle w:val="2"/>
        <w:rPr>
          <w:rFonts w:hint="eastAsia"/>
          <w:vanish/>
          <w:lang w:val="en-US" w:eastAsia="zh-CN"/>
        </w:rPr>
      </w:pPr>
    </w:p>
    <w:p>
      <w:pPr>
        <w:rPr>
          <w:rFonts w:hint="eastAsia"/>
          <w:vanish/>
          <w:lang w:val="en-US" w:eastAsia="zh-CN"/>
        </w:rPr>
        <w:sectPr>
          <w:headerReference r:id="rId3" w:type="default"/>
          <w:footerReference r:id="rId4" w:type="default"/>
          <w:pgSz w:w="11906" w:h="16838"/>
          <w:pgMar w:top="1962" w:right="1474" w:bottom="1848" w:left="1587" w:header="851" w:footer="992" w:gutter="0"/>
          <w:pgNumType w:fmt="numberInDash"/>
          <w:cols w:space="0" w:num="1"/>
          <w:docGrid w:type="lines" w:linePitch="317" w:charSpace="0"/>
        </w:sectPr>
      </w:pPr>
    </w:p>
    <w:p>
      <w:pPr>
        <w:pStyle w:val="2"/>
        <w:rPr>
          <w:rFonts w:hint="eastAsia"/>
          <w:vanish/>
          <w:lang w:val="en-US" w:eastAsia="zh-CN"/>
        </w:rPr>
        <w:sectPr>
          <w:pgSz w:w="11906" w:h="16838"/>
          <w:pgMar w:top="1962" w:right="1474" w:bottom="1848" w:left="1587" w:header="851" w:footer="992" w:gutter="0"/>
          <w:pgNumType w:fmt="numberInDash"/>
          <w:cols w:space="0" w:num="1"/>
          <w:rtlGutter w:val="0"/>
          <w:docGrid w:type="lines" w:linePitch="317" w:charSpace="0"/>
        </w:sectPr>
      </w:pPr>
    </w:p>
    <w:p>
      <w:pPr>
        <w:rPr>
          <w:rFonts w:hint="eastAsia"/>
          <w:vanish/>
          <w:lang w:val="en-US" w:eastAsia="zh-CN"/>
        </w:rPr>
      </w:pPr>
    </w:p>
    <w:p>
      <w:pPr>
        <w:rPr>
          <w:rFonts w:ascii="Times New Roman" w:hAnsi="Times New Roman"/>
          <w:vanish/>
          <w:szCs w:val="24"/>
        </w:rPr>
      </w:pPr>
      <w:r>
        <w:rPr>
          <w:rFonts w:hint="eastAsia" w:ascii="Times New Roman" w:hAnsi="Times New Roman" w:eastAsia="仿宋_GB2312" w:cs="Times New Roman"/>
          <w:vanish/>
          <w:sz w:val="32"/>
          <w:szCs w:val="32"/>
        </w:rPr>
        <w:br w:type="page"/>
      </w:r>
    </w:p>
    <w:p>
      <w:pPr>
        <w:rPr>
          <w:rFonts w:ascii="Times New Roman" w:hAnsi="Times New Roman"/>
          <w:vanish/>
          <w:szCs w:val="24"/>
        </w:rPr>
      </w:pPr>
    </w:p>
    <w:p>
      <w:pPr>
        <w:rPr>
          <w:rFonts w:ascii="Times New Roman" w:hAnsi="Times New Roman"/>
          <w:vanish/>
          <w:szCs w:val="24"/>
        </w:rPr>
      </w:pPr>
    </w:p>
    <w:p>
      <w:pPr>
        <w:rPr>
          <w:rFonts w:ascii="Times New Roman" w:hAnsi="Times New Roman"/>
          <w:vanish/>
          <w:szCs w:val="24"/>
        </w:rPr>
      </w:pPr>
    </w:p>
    <w:p>
      <w:pPr>
        <w:rPr>
          <w:rFonts w:ascii="Times New Roman" w:hAnsi="Times New Roman"/>
          <w:vanish/>
          <w:szCs w:val="24"/>
        </w:rPr>
      </w:pPr>
    </w:p>
    <w:p>
      <w:pPr>
        <w:rPr>
          <w:rFonts w:ascii="Times New Roman" w:hAnsi="Times New Roman"/>
          <w:vanish/>
          <w:szCs w:val="24"/>
        </w:rPr>
      </w:pPr>
    </w:p>
    <w:p>
      <w:pPr>
        <w:keepNext/>
        <w:keepLines/>
        <w:widowControl w:val="0"/>
        <w:spacing w:before="340" w:after="330" w:line="578" w:lineRule="auto"/>
        <w:jc w:val="both"/>
        <w:outlineLvl w:val="0"/>
        <w:rPr>
          <w:rFonts w:hint="eastAsia" w:ascii="Times New Roman" w:hAnsi="Times New Roman" w:eastAsia="宋体" w:cs="Times New Roman"/>
          <w:b/>
          <w:bCs/>
          <w:vanish/>
          <w:kern w:val="44"/>
          <w:sz w:val="44"/>
          <w:szCs w:val="44"/>
          <w:lang w:val="en-US" w:eastAsia="zh-CN" w:bidi="ar-SA"/>
        </w:rPr>
      </w:pPr>
    </w:p>
    <w:p>
      <w:pPr>
        <w:rPr>
          <w:rFonts w:ascii="Times New Roman" w:hAnsi="Times New Roman" w:eastAsia="仿宋_GB2312" w:cs="Times New Roman"/>
          <w:vanish/>
          <w:sz w:val="32"/>
          <w:szCs w:val="32"/>
        </w:rPr>
      </w:pPr>
    </w:p>
    <w:p>
      <w:pPr>
        <w:rPr>
          <w:rFonts w:ascii="Times New Roman" w:hAnsi="Times New Roman" w:eastAsia="仿宋_GB2312" w:cs="Times New Roman"/>
          <w:vanish/>
          <w:sz w:val="32"/>
          <w:szCs w:val="32"/>
        </w:rPr>
      </w:pPr>
    </w:p>
    <w:p>
      <w:pPr>
        <w:rPr>
          <w:rFonts w:ascii="Times New Roman" w:hAnsi="Times New Roman" w:eastAsia="仿宋_GB2312" w:cs="Times New Roman"/>
          <w:vanish/>
          <w:sz w:val="32"/>
          <w:szCs w:val="32"/>
        </w:rPr>
      </w:pPr>
    </w:p>
    <w:p>
      <w:pPr>
        <w:jc w:val="right"/>
        <w:rPr>
          <w:rFonts w:ascii="Times New Roman" w:hAnsi="Times New Roman" w:eastAsia="仿宋_GB2312" w:cs="Times New Roman"/>
          <w:vanish/>
          <w:sz w:val="32"/>
          <w:szCs w:val="32"/>
        </w:rPr>
      </w:pPr>
    </w:p>
    <w:p>
      <w:pPr>
        <w:rPr>
          <w:rFonts w:ascii="Times New Roman" w:hAnsi="Times New Roman" w:eastAsia="仿宋_GB2312" w:cs="Times New Roman"/>
          <w:vanish/>
          <w:sz w:val="32"/>
          <w:szCs w:val="32"/>
        </w:rPr>
      </w:pPr>
    </w:p>
    <w:p>
      <w:pPr>
        <w:rPr>
          <w:rFonts w:ascii="Times New Roman" w:hAnsi="Times New Roman" w:eastAsia="仿宋_GB2312" w:cs="Times New Roman"/>
          <w:vanish/>
          <w:sz w:val="32"/>
          <w:szCs w:val="32"/>
        </w:rPr>
      </w:pPr>
    </w:p>
    <w:p>
      <w:pPr>
        <w:rPr>
          <w:rFonts w:ascii="Times New Roman" w:hAnsi="Times New Roman" w:eastAsia="仿宋_GB2312" w:cs="Times New Roman"/>
          <w:vanish/>
          <w:sz w:val="32"/>
          <w:szCs w:val="32"/>
        </w:rPr>
      </w:pPr>
    </w:p>
    <w:p>
      <w:pPr>
        <w:snapToGrid w:val="0"/>
        <w:spacing w:line="15" w:lineRule="auto"/>
        <w:rPr>
          <w:rFonts w:ascii="Times New Roman" w:hAnsi="Times New Roman" w:eastAsia="仿宋_GB2312" w:cs="Times New Roman"/>
          <w:vanish/>
          <w:sz w:val="32"/>
          <w:szCs w:val="32"/>
        </w:rPr>
      </w:pPr>
    </w:p>
    <w:p>
      <w:pPr>
        <w:rPr>
          <w:rFonts w:hint="eastAsia" w:ascii="Times New Roman" w:hAnsi="Times New Roman" w:eastAsia="仿宋_GB2312" w:cs="Times New Roman"/>
          <w:vanish/>
          <w:sz w:val="32"/>
          <w:szCs w:val="3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jc w:val="right"/>
        <w:rPr>
          <w:rFonts w:eastAsia="宋体" w:cs="Times New Roman"/>
          <w:vanish/>
          <w:sz w:val="21"/>
          <w:szCs w:val="22"/>
        </w:rPr>
      </w:pPr>
      <w:bookmarkStart w:id="1" w:name="公章"/>
      <w:bookmarkEnd w:id="1"/>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ascii="方正仿宋_GBK" w:eastAsia="方正仿宋_GBK" w:cs="Times New Roman"/>
          <w:vanish/>
          <w:sz w:val="21"/>
          <w:szCs w:val="22"/>
        </w:rPr>
      </w:pPr>
    </w:p>
    <w:p>
      <w:pPr>
        <w:rPr>
          <w:rFonts w:eastAsia="宋体" w:cs="Times New Roman"/>
          <w:vanish/>
          <w:sz w:val="21"/>
          <w:szCs w:val="24"/>
        </w:rPr>
      </w:pPr>
    </w:p>
    <w:p>
      <w:pPr>
        <w:rPr>
          <w:vanish/>
        </w:rPr>
      </w:pPr>
    </w:p>
    <w:p>
      <w:pPr>
        <w:rPr>
          <w:vanish/>
        </w:rPr>
      </w:pPr>
    </w:p>
    <w:p>
      <w:pPr>
        <w:rPr>
          <w:vanish/>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rPr>
          <w:vanish/>
        </w:rPr>
      </w:pPr>
    </w:p>
    <w:p>
      <w:pPr>
        <w:rPr>
          <w:vanish/>
        </w:rPr>
      </w:pPr>
    </w:p>
    <w:p>
      <w:pPr>
        <w:rPr>
          <w:vanish/>
        </w:rPr>
      </w:pPr>
    </w:p>
    <w:p>
      <w:pPr>
        <w:rPr>
          <w:vanish/>
        </w:rPr>
      </w:pPr>
    </w:p>
    <w:p>
      <w:pPr>
        <w:rPr>
          <w:vanish/>
        </w:rPr>
      </w:pPr>
    </w:p>
    <w:sectPr>
      <w:pgSz w:w="11906" w:h="16838"/>
      <w:pgMar w:top="1962" w:right="1474" w:bottom="1848" w:left="1587" w:header="851" w:footer="992" w:gutter="0"/>
      <w:pgNumType w:fmt="numberInDash"/>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Lines="100"/>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-120015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45pt;height:144pt;width:144pt;mso-position-horizontal:outside;mso-position-horizontal-relative:margin;mso-wrap-style:none;z-index:251659264;mso-width-relative:page;mso-height-relative:page;" filled="f" stroked="f" coordsize="21600,21600" o:gfxdata="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DFAdLMwwERKfenR&#10;Cu2+HfjsTXEGTWf6OfGWb2qUsmU+PDCHwUD5eDrhHkspDVKawaKkMu7Lv85jPPoFLyUNBi2nGu+K&#10;Evleo48ADKPhRmM/Gvqo7gwmF71BLZ2JCy7I0SydUZ/xnlYxB1xMc2TKaRjNu9APO94jF6tVF3S0&#10;rj5U/QVMoWVhq3eWxzRRKm9XxwBpO8WjQL0q6FTcYA67ng1vJg76n/su6vE/sf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DvatC9UAAAAIAQAADwAAAAAAAAABACAAAAAiAAAAZHJzL2Rvd25yZXYu&#10;eG1sUEsBAhQAFAAAAAgAh07iQL10G3Y3AgAAbwQAAA4AAAAAAAAAAQAgAAAAJAEAAGRycy9lMm9E&#10;b2MueG1sUEsFBgAAAAAGAAYAWQEAAM0FAAAAAA==&#10;">
              <v:fill on="f" focussize="0,0"/>
              <v:stroke on="f" weight="0.5pt"/>
              <v:imagedata o:title=""/>
              <o:lock v:ext="edit" aspectratio="f"/>
              <v:textbox inset="0mm,0mm,0mm,0mm" style="mso-fit-shape-to-text:t;">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r>
      <w:rPr>
        <w:rFonts w:ascii="宋体" w:hAnsi="宋体" w:cs="宋体"/>
        <w:b/>
        <w:bCs/>
        <w:color w:val="005192"/>
        <w:sz w:val="28"/>
        <w:szCs w:val="44"/>
        <w:lang w:val="en-US"/>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136525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1.2pt;margin-top:10.75pt;height:0.15pt;width:442.25pt;z-index:251661312;mso-width-relative:page;mso-height-relative:page;" filled="f" stroked="t" coordsize="21600,21600" o:gfxdata="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F&#10;U66U1AAAAAc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28"/>
        <w:szCs w:val="44"/>
        <w:lang w:val="en-US"/>
      </w:rPr>
      <w:t>重庆市医疗保障局发布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spacing w:beforeLines="150"/>
      <w:jc w:val="left"/>
      <w:rPr>
        <w:rFonts w:hint="eastAsia" w:ascii="宋体" w:hAnsi="宋体" w:cs="宋体"/>
        <w:b/>
        <w:bCs/>
        <w:color w:val="005192"/>
        <w:sz w:val="32"/>
        <w:szCs w:val="32"/>
        <w:lang w:val="en-US"/>
      </w:rPr>
    </w:pPr>
    <w:r>
      <w:rPr>
        <w:rFonts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675005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0" y="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6pt;margin-top:53.15pt;height:0pt;width:442.55pt;z-index:251660288;mso-width-relative:page;mso-height-relative:page;" filled="f" stroked="t" coordsize="21600,21600" o:gfxdata="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6xMIdIA&#10;AAAJAQAADwAAAAAAAAABACAAAAAiAAAAZHJzL2Rvd25yZXYueG1sUEsBAhQAFAAAAAgAh07iQLOJ&#10;ui7sAQAAwAMAAA4AAAAAAAAAAQAgAAAAIQEAAGRycy9lMm9Eb2MueG1sUEsFBgAAAAAGAAYAWQEA&#10;AH8FA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32"/>
        <w:lang w:val="en-US"/>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rPr>
      <w:t>重庆市医疗保障局</w:t>
    </w:r>
    <w:r>
      <w:rPr>
        <w:rFonts w:hint="eastAsia" w:ascii="宋体" w:hAnsi="宋体" w:cs="宋体"/>
        <w:b/>
        <w:bCs/>
        <w:color w:val="005192"/>
        <w:sz w:val="32"/>
        <w:szCs w:val="32"/>
        <w:lang w:val="en-US"/>
      </w:rPr>
      <w:t>规范性文件</w:t>
    </w:r>
  </w:p>
  <w:p>
    <w:pPr>
      <w:pStyle w:val="7"/>
      <w:keepNext w:val="0"/>
      <w:keepLines w:val="0"/>
      <w:pageBreakBefore w:val="0"/>
      <w:widowControl w:val="0"/>
      <w:pBdr>
        <w:bottom w:val="none" w:color="auto" w:sz="0" w:space="0"/>
      </w:pBdr>
      <w:kinsoku/>
      <w:wordWrap/>
      <w:overflowPunct/>
      <w:topLinePunct w:val="0"/>
      <w:autoSpaceDE/>
      <w:autoSpaceDN/>
      <w:bidi w:val="0"/>
      <w:adjustRightInd/>
      <w:snapToGrid w:val="0"/>
      <w:jc w:val="left"/>
      <w:textAlignment w:val="auto"/>
      <w:rPr>
        <w:rFonts w:hint="eastAsia" w:ascii="宋体" w:hAnsi="宋体" w:cs="宋体"/>
        <w:b/>
        <w:bCs/>
        <w:color w:val="005192"/>
        <w:sz w:val="32"/>
        <w:szCs w:val="32"/>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BD59F1"/>
    <w:rsid w:val="001B29FD"/>
    <w:rsid w:val="001E62AC"/>
    <w:rsid w:val="00256583"/>
    <w:rsid w:val="00287718"/>
    <w:rsid w:val="002958C0"/>
    <w:rsid w:val="00336BD7"/>
    <w:rsid w:val="004375A7"/>
    <w:rsid w:val="00465ED9"/>
    <w:rsid w:val="004F3710"/>
    <w:rsid w:val="006236DB"/>
    <w:rsid w:val="006251EB"/>
    <w:rsid w:val="00627C57"/>
    <w:rsid w:val="006761A9"/>
    <w:rsid w:val="006C28A5"/>
    <w:rsid w:val="006C716A"/>
    <w:rsid w:val="00800B09"/>
    <w:rsid w:val="008A1FBB"/>
    <w:rsid w:val="009569E5"/>
    <w:rsid w:val="00A8021B"/>
    <w:rsid w:val="00BB0F49"/>
    <w:rsid w:val="00BD59F1"/>
    <w:rsid w:val="00C02CA9"/>
    <w:rsid w:val="00C05E09"/>
    <w:rsid w:val="00D822F4"/>
    <w:rsid w:val="00E10AF5"/>
    <w:rsid w:val="00E95DD5"/>
    <w:rsid w:val="00E97256"/>
    <w:rsid w:val="00EC1B42"/>
    <w:rsid w:val="00F65B11"/>
    <w:rsid w:val="00F713B4"/>
    <w:rsid w:val="017161EE"/>
    <w:rsid w:val="0373439E"/>
    <w:rsid w:val="05E13F99"/>
    <w:rsid w:val="05E7762F"/>
    <w:rsid w:val="06107982"/>
    <w:rsid w:val="069B5865"/>
    <w:rsid w:val="08FE7C34"/>
    <w:rsid w:val="09013BBB"/>
    <w:rsid w:val="09C724A7"/>
    <w:rsid w:val="0B195B80"/>
    <w:rsid w:val="16D81DB6"/>
    <w:rsid w:val="174775C1"/>
    <w:rsid w:val="19F26BB1"/>
    <w:rsid w:val="1A7754F8"/>
    <w:rsid w:val="1B0753E2"/>
    <w:rsid w:val="1B4E30E0"/>
    <w:rsid w:val="1C03787B"/>
    <w:rsid w:val="1F66431E"/>
    <w:rsid w:val="1F6B6086"/>
    <w:rsid w:val="1FF2314D"/>
    <w:rsid w:val="21827243"/>
    <w:rsid w:val="250948EB"/>
    <w:rsid w:val="261C1009"/>
    <w:rsid w:val="26FE3319"/>
    <w:rsid w:val="27851AC3"/>
    <w:rsid w:val="2B1D7252"/>
    <w:rsid w:val="2B372E74"/>
    <w:rsid w:val="2BC52E85"/>
    <w:rsid w:val="2C0679BF"/>
    <w:rsid w:val="2DEC6BE5"/>
    <w:rsid w:val="2E593E6B"/>
    <w:rsid w:val="2FBD190A"/>
    <w:rsid w:val="314372AE"/>
    <w:rsid w:val="31667E06"/>
    <w:rsid w:val="324E1D58"/>
    <w:rsid w:val="32DA5548"/>
    <w:rsid w:val="335B486B"/>
    <w:rsid w:val="369E4EAA"/>
    <w:rsid w:val="3CC11305"/>
    <w:rsid w:val="3E8C7CCF"/>
    <w:rsid w:val="40CB1594"/>
    <w:rsid w:val="43350544"/>
    <w:rsid w:val="44897362"/>
    <w:rsid w:val="44BE37CF"/>
    <w:rsid w:val="45A537EA"/>
    <w:rsid w:val="464D005F"/>
    <w:rsid w:val="4A280732"/>
    <w:rsid w:val="4A9F2515"/>
    <w:rsid w:val="4D275BEE"/>
    <w:rsid w:val="4D3B4FB8"/>
    <w:rsid w:val="4E5F467B"/>
    <w:rsid w:val="510971A4"/>
    <w:rsid w:val="53AD1103"/>
    <w:rsid w:val="54E36229"/>
    <w:rsid w:val="554B02CC"/>
    <w:rsid w:val="580C22FF"/>
    <w:rsid w:val="589B50B4"/>
    <w:rsid w:val="59312802"/>
    <w:rsid w:val="5BEE4C02"/>
    <w:rsid w:val="5BFF151F"/>
    <w:rsid w:val="5F78236B"/>
    <w:rsid w:val="602461BE"/>
    <w:rsid w:val="6314426C"/>
    <w:rsid w:val="699A3F3C"/>
    <w:rsid w:val="6CF5407A"/>
    <w:rsid w:val="6FAC2205"/>
    <w:rsid w:val="7874644F"/>
    <w:rsid w:val="791E0F5E"/>
    <w:rsid w:val="79602B3A"/>
    <w:rsid w:val="7B1A16F5"/>
    <w:rsid w:val="7CCA0390"/>
    <w:rsid w:val="7D916411"/>
    <w:rsid w:val="7DB03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100" w:beforeAutospacing="1" w:after="100" w:afterAutospacing="1"/>
      <w:outlineLvl w:val="0"/>
    </w:pPr>
    <w:rPr>
      <w:rFonts w:hint="eastAsia" w:ascii="宋体" w:hAnsi="宋体"/>
      <w:b/>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link w:val="13"/>
    <w:semiHidden/>
    <w:unhideWhenUsed/>
    <w:qFormat/>
    <w:uiPriority w:val="99"/>
    <w:pPr>
      <w:jc w:val="center"/>
    </w:pPr>
    <w:rPr>
      <w:lang w:val="zh-CN"/>
    </w:r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5">
    <w:name w:val="Balloon Text"/>
    <w:basedOn w:val="1"/>
    <w:link w:val="14"/>
    <w:semiHidden/>
    <w:unhideWhenUsed/>
    <w:qFormat/>
    <w:uiPriority w:val="99"/>
    <w:rPr>
      <w:sz w:val="18"/>
      <w:szCs w:val="18"/>
    </w:rPr>
  </w:style>
  <w:style w:type="paragraph" w:styleId="6">
    <w:name w:val="footer"/>
    <w:basedOn w:val="1"/>
    <w:link w:val="11"/>
    <w:semiHidden/>
    <w:unhideWhenUsed/>
    <w:qFormat/>
    <w:uiPriority w:val="99"/>
    <w:pPr>
      <w:tabs>
        <w:tab w:val="center" w:pos="4153"/>
        <w:tab w:val="right" w:pos="8306"/>
      </w:tabs>
      <w:snapToGrid w:val="0"/>
      <w:jc w:val="left"/>
    </w:pPr>
    <w:rPr>
      <w:kern w:val="0"/>
      <w:sz w:val="18"/>
      <w:szCs w:val="18"/>
      <w:lang w:val="zh-CN"/>
    </w:rPr>
  </w:style>
  <w:style w:type="paragraph" w:styleId="7">
    <w:name w:val="header"/>
    <w:basedOn w:val="1"/>
    <w:link w:val="10"/>
    <w:semiHidden/>
    <w:unhideWhenUsed/>
    <w:qFormat/>
    <w:uiPriority w:val="99"/>
    <w:pPr>
      <w:pBdr>
        <w:bottom w:val="single" w:color="auto" w:sz="6" w:space="1"/>
      </w:pBdr>
      <w:tabs>
        <w:tab w:val="center" w:pos="4153"/>
        <w:tab w:val="right" w:pos="8306"/>
      </w:tabs>
      <w:snapToGrid w:val="0"/>
      <w:jc w:val="center"/>
    </w:pPr>
    <w:rPr>
      <w:kern w:val="0"/>
      <w:sz w:val="18"/>
      <w:szCs w:val="18"/>
      <w:lang w:val="zh-CN"/>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character" w:customStyle="1" w:styleId="12">
    <w:name w:val="正文文本 Char"/>
    <w:semiHidden/>
    <w:qFormat/>
    <w:uiPriority w:val="99"/>
    <w:rPr>
      <w:kern w:val="2"/>
      <w:sz w:val="21"/>
      <w:szCs w:val="22"/>
    </w:rPr>
  </w:style>
  <w:style w:type="character" w:customStyle="1" w:styleId="13">
    <w:name w:val="正文文本 Char1"/>
    <w:link w:val="3"/>
    <w:qFormat/>
    <w:uiPriority w:val="0"/>
    <w:rPr>
      <w:rFonts w:ascii="Times New Roman" w:hAnsi="Times New Roman" w:eastAsia="仿宋_GB2312"/>
      <w:b/>
      <w:color w:val="FF0000"/>
      <w:kern w:val="2"/>
      <w:sz w:val="44"/>
      <w:szCs w:val="32"/>
      <w:lang w:val="zh-CN" w:eastAsia="zh-CN"/>
    </w:rPr>
  </w:style>
  <w:style w:type="character" w:customStyle="1" w:styleId="14">
    <w:name w:val="批注框文本 Char"/>
    <w:basedOn w:val="9"/>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Users</Company>
  <Pages>1</Pages>
  <Words>146</Words>
  <Characters>835</Characters>
  <Lines>6</Lines>
  <Paragraphs>1</Paragraphs>
  <TotalTime>0</TotalTime>
  <ScaleCrop>false</ScaleCrop>
  <LinksUpToDate>false</LinksUpToDate>
  <CharactersWithSpaces>980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2021-12-02T08:42:00Z</dcterms:created>
  <dc:creator>赖茜</dc:creator>
  <cp:lastModifiedBy>胡娟</cp:lastModifiedBy>
  <cp:lastPrinted>2023-03-10T07:08:00Z</cp:lastPrinted>
  <dcterms:modified xsi:type="dcterms:W3CDTF">2026-08-21T01:36:07Z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525AC58F0BDB4528BB085CCB2E64C1C2</vt:lpwstr>
  </property>
</Properties>
</file>