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20" w:lineRule="exact"/>
        <w:jc w:val="center"/>
        <w:rPr>
          <w:rFonts w:hint="eastAsia" w:ascii="方正小标宋_GBK" w:eastAsia="方正小标宋_GBK"/>
          <w:b w:val="0"/>
          <w:bCs w:val="0"/>
          <w:sz w:val="44"/>
          <w:szCs w:val="44"/>
        </w:rPr>
      </w:pPr>
      <w:bookmarkStart w:id="0" w:name="zw"/>
      <w:bookmarkEnd w:id="0"/>
    </w:p>
    <w:p>
      <w:pPr>
        <w:pStyle w:val="7"/>
        <w:spacing w:before="0" w:beforeAutospacing="0" w:after="0" w:afterAutospacing="0" w:line="520" w:lineRule="exact"/>
        <w:jc w:val="center"/>
        <w:rPr>
          <w:rFonts w:hint="eastAsia" w:ascii="方正小标宋_GBK" w:eastAsia="方正小标宋_GBK"/>
          <w:b w:val="0"/>
          <w:bCs w:val="0"/>
          <w:sz w:val="44"/>
          <w:szCs w:val="44"/>
        </w:rPr>
      </w:pPr>
    </w:p>
    <w:p>
      <w:pPr>
        <w:pStyle w:val="7"/>
        <w:spacing w:before="0" w:beforeAutospacing="0" w:after="0" w:afterAutospacing="0" w:line="520" w:lineRule="exact"/>
        <w:jc w:val="center"/>
        <w:rPr>
          <w:rFonts w:hint="eastAsia" w:ascii="方正小标宋_GBK" w:eastAsia="方正小标宋_GBK"/>
          <w:b w:val="0"/>
          <w:bCs w:val="0"/>
          <w:sz w:val="44"/>
          <w:szCs w:val="44"/>
        </w:rPr>
      </w:pPr>
    </w:p>
    <w:p>
      <w:pPr>
        <w:pStyle w:val="7"/>
        <w:spacing w:before="0" w:beforeAutospacing="0" w:after="0" w:afterAutospacing="0" w:line="520" w:lineRule="exact"/>
        <w:jc w:val="center"/>
        <w:rPr>
          <w:rFonts w:hint="eastAsia" w:ascii="方正小标宋_GBK" w:eastAsia="方正小标宋_GBK"/>
          <w:b w:val="0"/>
          <w:bCs w:val="0"/>
          <w:sz w:val="44"/>
          <w:szCs w:val="44"/>
        </w:rPr>
      </w:pPr>
    </w:p>
    <w:p>
      <w:pPr>
        <w:pStyle w:val="7"/>
        <w:spacing w:before="0" w:beforeAutospacing="0" w:after="0" w:afterAutospacing="0" w:line="520" w:lineRule="exact"/>
        <w:jc w:val="center"/>
        <w:rPr>
          <w:rFonts w:hint="eastAsia" w:ascii="方正小标宋_GBK" w:eastAsia="方正小标宋_GBK"/>
          <w:b w:val="0"/>
          <w:bCs w:val="0"/>
          <w:sz w:val="44"/>
          <w:szCs w:val="44"/>
        </w:rPr>
      </w:pPr>
    </w:p>
    <w:p>
      <w:pPr>
        <w:pStyle w:val="7"/>
        <w:spacing w:before="0" w:beforeAutospacing="0" w:after="0" w:afterAutospacing="0" w:line="520" w:lineRule="exact"/>
        <w:jc w:val="center"/>
        <w:rPr>
          <w:rFonts w:hint="eastAsia" w:ascii="方正小标宋_GBK" w:eastAsia="方正小标宋_GBK"/>
          <w:b w:val="0"/>
          <w:bCs w:val="0"/>
          <w:sz w:val="44"/>
          <w:szCs w:val="44"/>
        </w:rPr>
      </w:pPr>
    </w:p>
    <w:p>
      <w:pPr>
        <w:pStyle w:val="7"/>
        <w:spacing w:before="0" w:beforeAutospacing="0" w:after="0" w:afterAutospacing="0" w:line="520" w:lineRule="exact"/>
        <w:jc w:val="center"/>
        <w:rPr>
          <w:rFonts w:hint="eastAsia" w:ascii="方正小标宋_GBK" w:eastAsia="方正小标宋_GBK"/>
          <w:b w:val="0"/>
          <w:bCs w:val="0"/>
          <w:sz w:val="44"/>
          <w:szCs w:val="44"/>
        </w:rPr>
      </w:pPr>
    </w:p>
    <w:p>
      <w:pPr>
        <w:pStyle w:val="7"/>
        <w:spacing w:before="0" w:beforeAutospacing="0" w:after="0" w:afterAutospacing="0" w:line="520" w:lineRule="exact"/>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重庆市医疗保障局 重庆市卫生健康委员会</w:t>
      </w:r>
    </w:p>
    <w:p>
      <w:pPr>
        <w:pStyle w:val="7"/>
        <w:spacing w:before="0" w:beforeAutospacing="0" w:after="0" w:afterAutospacing="0" w:line="520" w:lineRule="exact"/>
        <w:jc w:val="center"/>
        <w:rPr>
          <w:rFonts w:hint="eastAsia" w:ascii="方正小标宋_GBK" w:eastAsia="方正小标宋_GBK"/>
          <w:b w:val="0"/>
          <w:bCs w:val="0"/>
          <w:spacing w:val="-10"/>
          <w:sz w:val="44"/>
          <w:szCs w:val="44"/>
        </w:rPr>
      </w:pPr>
      <w:r>
        <w:rPr>
          <w:rFonts w:hint="eastAsia" w:ascii="方正小标宋_GBK" w:eastAsia="方正小标宋_GBK"/>
          <w:b w:val="0"/>
          <w:bCs w:val="0"/>
          <w:spacing w:val="-10"/>
          <w:sz w:val="44"/>
          <w:szCs w:val="44"/>
        </w:rPr>
        <w:t>转发国家医保局国家卫生健康委关于做好</w:t>
      </w:r>
    </w:p>
    <w:p>
      <w:pPr>
        <w:pStyle w:val="7"/>
        <w:spacing w:before="0" w:beforeAutospacing="0" w:after="0" w:afterAutospacing="0" w:line="520" w:lineRule="exact"/>
        <w:jc w:val="center"/>
        <w:rPr>
          <w:rFonts w:hint="eastAsia" w:ascii="方正小标宋_GBK" w:eastAsia="方正小标宋_GBK"/>
          <w:b w:val="0"/>
          <w:bCs w:val="0"/>
          <w:spacing w:val="-8"/>
          <w:sz w:val="44"/>
          <w:szCs w:val="44"/>
        </w:rPr>
      </w:pPr>
      <w:r>
        <w:rPr>
          <w:rFonts w:hint="eastAsia" w:ascii="方正小标宋_GBK" w:eastAsia="方正小标宋_GBK"/>
          <w:b w:val="0"/>
          <w:bCs w:val="0"/>
          <w:spacing w:val="-10"/>
          <w:sz w:val="44"/>
          <w:szCs w:val="44"/>
        </w:rPr>
        <w:t>2019年</w:t>
      </w:r>
      <w:r>
        <w:rPr>
          <w:rFonts w:hint="eastAsia" w:ascii="方正小标宋_GBK" w:eastAsia="方正小标宋_GBK"/>
          <w:b w:val="0"/>
          <w:bCs w:val="0"/>
          <w:spacing w:val="-8"/>
          <w:sz w:val="44"/>
          <w:szCs w:val="44"/>
        </w:rPr>
        <w:t>国家医保谈判药品落地工作的通知</w:t>
      </w:r>
    </w:p>
    <w:p>
      <w:pPr>
        <w:autoSpaceDE w:val="0"/>
        <w:autoSpaceDN w:val="0"/>
        <w:adjustRightInd w:val="0"/>
        <w:spacing w:line="600" w:lineRule="exact"/>
        <w:jc w:val="center"/>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渝医保发〔201</w:t>
      </w:r>
      <w:r>
        <w:rPr>
          <w:rFonts w:hint="eastAsia" w:ascii="Times New Roman" w:hAnsi="Times New Roman" w:eastAsia="方正仿宋_GBK" w:cs="宋体"/>
          <w:kern w:val="0"/>
          <w:sz w:val="32"/>
          <w:szCs w:val="32"/>
          <w:lang w:val="en-US" w:eastAsia="zh-CN" w:bidi="ar-SA"/>
        </w:rPr>
        <w:t>9</w:t>
      </w: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92</w:t>
      </w:r>
      <w:r>
        <w:rPr>
          <w:rFonts w:hint="default" w:ascii="Times New Roman" w:hAnsi="Times New Roman" w:eastAsia="方正仿宋_GBK" w:cs="宋体"/>
          <w:kern w:val="0"/>
          <w:sz w:val="32"/>
          <w:szCs w:val="32"/>
          <w:lang w:val="en-US" w:eastAsia="zh-CN" w:bidi="ar-SA"/>
        </w:rPr>
        <w:t>号</w:t>
      </w:r>
    </w:p>
    <w:p>
      <w:pPr>
        <w:pStyle w:val="7"/>
        <w:spacing w:before="0" w:beforeAutospacing="0" w:after="0" w:afterAutospacing="0" w:line="680" w:lineRule="exact"/>
        <w:jc w:val="center"/>
        <w:rPr>
          <w:rFonts w:hint="eastAsia" w:ascii="方正仿宋_GBK" w:hAnsi="Times New Roman" w:eastAsia="方正仿宋_GBK"/>
          <w:sz w:val="32"/>
          <w:szCs w:val="32"/>
          <w:lang w:val="en-US" w:eastAsia="zh-CN"/>
        </w:rPr>
      </w:pPr>
    </w:p>
    <w:p>
      <w:pPr>
        <w:pStyle w:val="7"/>
        <w:snapToGrid w:val="0"/>
        <w:spacing w:before="0" w:beforeAutospacing="0" w:after="0" w:afterAutospacing="0" w:line="600" w:lineRule="exact"/>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各区县（自治县）医保局、卫生健康委，两江新区社会保障局、社发局，万盛经开区医保局、卫生计生局，各委属医疗机构，陆军军医大学各附属医院，武警重庆市总队医院，大型企事业单位职工医院： </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切实做好国家谈判药品的贯彻落实工作，现将《国家医保局国家卫生健康委关于做好2019年国家医保谈判药品落地工作的通知》（医保发〔2019〕73号）转发给你们，并结合我市实际，提出如下意见，请一并遵照执行。</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黑体_GBK" w:cs="方正仿宋_GBK"/>
          <w:sz w:val="32"/>
          <w:szCs w:val="32"/>
        </w:rPr>
        <w:t>一、严格规范国家谈判药品采购及临床使</w:t>
      </w:r>
      <w:r>
        <w:rPr>
          <w:rFonts w:hint="eastAsia" w:ascii="Times New Roman" w:hAnsi="Times New Roman" w:eastAsia="Meiryo" w:cs="Meiryo"/>
          <w:sz w:val="32"/>
          <w:szCs w:val="32"/>
        </w:rPr>
        <w:t>⽤</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卫生健康部门要加强对辖区内医疗机构使用国家谈判药品的指导和监督，督促医疗机构及时采购和使用国家谈判药品。各级医疗机构要制定国家谈判药品配备使用的工作措施，畅通国家谈判药品进院渠道，将国家谈判药品纳入医疗机构采购用药目录，确保优先配备，不得以费用控制、药占比、医疗机构用药品种规格数量要求、药事管理委员会评审等为由影响国家谈判药品的合理使用与供应保障；要根据临床需求和诊疗能力，优化用药结构，及时调整相关治疗药品目录，将国家谈判药品纳入医院药品处方集和基本用药供应目录，并规范采购；要严格掌握用药指征，安全、有效、经济使用国家谈判药品，加强此类药品使用监测、预警、点评、分析等工作，不断提升临床合理用药水平。</w:t>
      </w:r>
    </w:p>
    <w:p>
      <w:pPr>
        <w:pStyle w:val="7"/>
        <w:snapToGrid w:val="0"/>
        <w:spacing w:before="0" w:beforeAutospacing="0" w:after="0" w:afterAutospacing="0" w:line="600" w:lineRule="exact"/>
        <w:ind w:firstLine="640" w:firstLineChars="200"/>
        <w:jc w:val="both"/>
        <w:rPr>
          <w:rFonts w:hint="eastAsia" w:ascii="Times New Roman" w:hAnsi="Times New Roman" w:eastAsia="方正黑体_GBK" w:cs="方正仿宋_GBK"/>
          <w:sz w:val="32"/>
          <w:szCs w:val="32"/>
        </w:rPr>
      </w:pPr>
      <w:r>
        <w:rPr>
          <w:rFonts w:hint="eastAsia" w:ascii="Times New Roman" w:hAnsi="Times New Roman" w:eastAsia="方正黑体_GBK" w:cs="方正仿宋_GBK"/>
          <w:sz w:val="32"/>
          <w:szCs w:val="32"/>
        </w:rPr>
        <w:t>二、继续实施部分药品的事前审查管理</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根据国家医保局对谈判药品的有关规定，</w:t>
      </w:r>
      <w:r>
        <w:rPr>
          <w:rFonts w:ascii="Times New Roman" w:hAnsi="Times New Roman" w:eastAsia="方正仿宋_GBK" w:cs="方正仿宋_GBK"/>
          <w:sz w:val="32"/>
          <w:szCs w:val="32"/>
        </w:rPr>
        <w:t>对</w:t>
      </w:r>
      <w:r>
        <w:rPr>
          <w:rFonts w:hint="eastAsia" w:ascii="Times New Roman" w:hAnsi="Times New Roman" w:eastAsia="方正仿宋_GBK" w:cs="方正仿宋_GBK"/>
          <w:sz w:val="32"/>
          <w:szCs w:val="32"/>
        </w:rPr>
        <w:t>国家谈判药品中</w:t>
      </w:r>
      <w:r>
        <w:rPr>
          <w:rFonts w:ascii="Times New Roman" w:hAnsi="Times New Roman" w:eastAsia="方正仿宋_GBK" w:cs="方正仿宋_GBK"/>
          <w:sz w:val="32"/>
          <w:szCs w:val="32"/>
        </w:rPr>
        <w:t>规定需</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事前审查后方可使用</w:t>
      </w:r>
      <w:r>
        <w:rPr>
          <w:rFonts w:hint="eastAsia" w:ascii="Times New Roman" w:hAnsi="Times New Roman" w:eastAsia="方正仿宋_GBK" w:cs="方正仿宋_GBK"/>
          <w:sz w:val="32"/>
          <w:szCs w:val="32"/>
        </w:rPr>
        <w:t>”以及</w:t>
      </w:r>
      <w:r>
        <w:rPr>
          <w:rFonts w:ascii="Times New Roman" w:hAnsi="Times New Roman" w:eastAsia="方正仿宋_GBK" w:cs="方正仿宋_GBK"/>
          <w:sz w:val="32"/>
          <w:szCs w:val="32"/>
        </w:rPr>
        <w:t>其他需要</w:t>
      </w:r>
      <w:r>
        <w:rPr>
          <w:rFonts w:hint="eastAsia" w:ascii="Times New Roman" w:hAnsi="Times New Roman" w:eastAsia="方正仿宋_GBK" w:cs="方正仿宋_GBK"/>
          <w:sz w:val="32"/>
          <w:szCs w:val="32"/>
        </w:rPr>
        <w:t>强化</w:t>
      </w:r>
      <w:r>
        <w:rPr>
          <w:rFonts w:ascii="Times New Roman" w:hAnsi="Times New Roman" w:eastAsia="方正仿宋_GBK" w:cs="方正仿宋_GBK"/>
          <w:sz w:val="32"/>
          <w:szCs w:val="32"/>
        </w:rPr>
        <w:t>管理的药品，</w:t>
      </w:r>
      <w:r>
        <w:rPr>
          <w:rFonts w:hint="eastAsia" w:ascii="Times New Roman" w:hAnsi="Times New Roman" w:eastAsia="方正仿宋_GBK" w:cs="方正仿宋_GBK"/>
          <w:sz w:val="32"/>
          <w:szCs w:val="32"/>
        </w:rPr>
        <w:t>继续执行医保报销</w:t>
      </w:r>
      <w:r>
        <w:rPr>
          <w:rFonts w:ascii="Times New Roman" w:hAnsi="Times New Roman" w:eastAsia="方正仿宋_GBK" w:cs="方正仿宋_GBK"/>
          <w:sz w:val="32"/>
          <w:szCs w:val="32"/>
        </w:rPr>
        <w:t>事前审查</w:t>
      </w:r>
      <w:r>
        <w:rPr>
          <w:rFonts w:hint="eastAsia" w:ascii="Times New Roman" w:hAnsi="Times New Roman" w:eastAsia="方正仿宋_GBK" w:cs="方正仿宋_GBK"/>
          <w:sz w:val="32"/>
          <w:szCs w:val="32"/>
        </w:rPr>
        <w:t>制度。其中，以前实行了事前审查制度的药品，暂继续按《关于将36种国家谈判药品纳入重庆市基本医疗保险、工伤保险和生育保险药品目录有关事宜的通知》（渝人社发〔2017〕266号）执行；帕妥珠单抗等8个新增的国家谈判药品纳入医保报销事前审查范围，事前审查办法与原实行事前审查的药品保持一致。今后市医保局有新规定的，从其新规定。具体药品名单详见附件。</w:t>
      </w:r>
    </w:p>
    <w:p>
      <w:pPr>
        <w:pStyle w:val="7"/>
        <w:snapToGrid w:val="0"/>
        <w:spacing w:before="0" w:beforeAutospacing="0" w:after="0" w:afterAutospacing="0" w:line="600" w:lineRule="exact"/>
        <w:ind w:firstLine="640" w:firstLineChars="200"/>
        <w:jc w:val="both"/>
        <w:rPr>
          <w:rFonts w:hint="eastAsia" w:ascii="Times New Roman" w:hAnsi="Times New Roman" w:eastAsia="方正黑体_GBK" w:cs="方正仿宋_GBK"/>
          <w:sz w:val="32"/>
          <w:szCs w:val="32"/>
        </w:rPr>
      </w:pPr>
      <w:r>
        <w:rPr>
          <w:rFonts w:hint="eastAsia" w:ascii="Times New Roman" w:hAnsi="Times New Roman" w:eastAsia="方正黑体_GBK" w:cs="方正仿宋_GBK"/>
          <w:sz w:val="32"/>
          <w:szCs w:val="32"/>
        </w:rPr>
        <w:t>三、同步做好医保基金总额分配</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各区县（自治县）医保部门在对医疗机构实施医保基金总额预算分配和结算过程中，应保障参保人对国家谈判药品合理使用，切实做好医保基金支出预算安排和总额控制指标制定。</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附件：实行医保报销事前审查的药品名单</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重庆市医疗保障局           重庆市卫生健康委员会</w:t>
      </w:r>
    </w:p>
    <w:p>
      <w:pPr>
        <w:pStyle w:val="7"/>
        <w:snapToGrid w:val="0"/>
        <w:spacing w:before="0" w:beforeAutospacing="0" w:after="0" w:afterAutospacing="0" w:line="600" w:lineRule="exact"/>
        <w:ind w:firstLine="640" w:firstLineChars="200"/>
        <w:jc w:val="both"/>
        <w:rPr>
          <w:rFonts w:ascii="方正仿宋_GBK" w:hAnsi="Times New Roman" w:eastAsia="方正仿宋_GBK" w:cs="方正仿宋_GBK"/>
          <w:sz w:val="32"/>
          <w:szCs w:val="32"/>
        </w:rPr>
        <w:sectPr>
          <w:footerReference r:id="rId3" w:type="even"/>
          <w:pgSz w:w="11906" w:h="16838"/>
          <w:pgMar w:top="2098" w:right="1474" w:bottom="1985" w:left="1588"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2019年12月</w:t>
      </w:r>
      <w:r>
        <w:rPr>
          <w:rFonts w:hint="eastAsia" w:ascii="Times New Roman" w:hAnsi="Times New Roman" w:eastAsia="方正仿宋_GBK" w:cs="方正仿宋_GBK"/>
          <w:sz w:val="32"/>
          <w:szCs w:val="32"/>
        </w:rPr>
        <w:t>30</w:t>
      </w:r>
      <w:r>
        <w:rPr>
          <w:rFonts w:ascii="Times New Roman" w:hAnsi="Times New Roman" w:eastAsia="方正仿宋_GBK" w:cs="方正仿宋_GBK"/>
          <w:sz w:val="32"/>
          <w:szCs w:val="32"/>
        </w:rPr>
        <w:t>日</w:t>
      </w:r>
      <w:r>
        <w:rPr>
          <w:rFonts w:hint="eastAsia" w:ascii="Times New Roman" w:hAnsi="Times New Roman" w:eastAsia="方正仿宋_GBK" w:cs="方正仿宋_GBK"/>
          <w:sz w:val="32"/>
          <w:szCs w:val="32"/>
        </w:rPr>
        <w:t xml:space="preserve"> </w:t>
      </w:r>
      <w:r>
        <w:rPr>
          <w:rFonts w:hint="eastAsia" w:ascii="方正仿宋_GBK" w:hAnsi="Times New Roman" w:eastAsia="方正仿宋_GBK" w:cs="方正仿宋_GBK"/>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国家医保局     国家卫生健康委关于做好2019年国家医保谈判药品落地工作的通知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center"/>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医保发〔2019〕73号</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方正仿宋_GBK"/>
          <w:sz w:val="32"/>
          <w:szCs w:val="32"/>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各省、自治区、直辖市及新疆生产建设兵团医保局、卫生健康委：</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2019年国家医保药品谈判是党中央、国务院部署的重大任务，对于提高参保人员用药保障水平，促进临床技术进步具有重要意义。为推动2019年国家医保谈判药品（以下简称谈判药品）尽快落地，保证广大参保患者能够如期享受到相关待遇，现就有关事项通知如下：</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一、认真做好谈判药品挂网采购和支付工作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省级医保部门要优化流程、加快进度，组织企业及时提交相关资料，按照《国家医保局 人力资源社会保障部关于将2019年谈判药品纳入〈国家基本医疗保险、工伤保险和生育保险药品目录〉乙类范围的通知》）（医保发〔2019〕65号）规定的时限将97个谈判药品在省级药品集中采购平台上直接挂网。及时组织医疗机构和药品生产企业签订协议，医疗机构根据协议规范采购。</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统筹地区医保经办机构要根据新版目录调入、调出药品情况加快调整更新医保信息系统，制定结算管理办法，保证新版目录及时落地。提升精细化管理能力和水平，在确定定点医疗机构年度总额控制指标时，要综合考虑新版目录药品增减、结构调整以及定点医疗机构特点等因素，合理测算基金支付额度，保障医疗机构和患者基本用药需求。</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二、推进谈判药品及时进入定点医疗机构</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地医保、卫生健康等部门要根据职责对谈判药品的配备、使用等方面提出具体要求，指导各定点医疗机构根据功能定位、临床需求和诊疗能力等及时配备、合理使用，不得以医保总额控制、医疗机构用药目录数量限制、药占比等为由影响谈判药品配备、使用。各定点医疗机构要根据目录调入、调出药品情况，及时召开专门的药事管理会议，对本医疗机构用药目录进行调整和优化。逐步建立医保药品目录调整与定点医疗机构药品配备联动机制，形成长效。</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三、优化支付方式，做好待遇保障衔接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地医保部门要科学测算、周密组织，在确保基金安全和药品合理使用的前提下，积极探索符合本地实际的支付方式。对适于门诊治疗、使用周期较长、疗程费用较高的谈判药品，可根据基金收支情况，通过纳入门诊特殊病种保障、探索单病种付费等方式，减轻患者负担。有条件的地方，可积极探索长期处方政策，方便患者使用。对于与本次谈判前医保目录内原有药品相比性价比更高、可完全替代的药品，可采取措施鼓励替代使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四、加强管理监测，确保规范使用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地要建立谈判药品使用情况监测机制，加强对谈判药品配备、使用和支付等情况的统计监测，2020年1-6月各省级医保部门每月汇总上报国家医保局（医药服务管理司）。各级卫生健康部门要加强对医疗机构的管理和指导，完善谈判药品用药指南和规范，规范诊疗行为，促进合理用药。各定点医疗机构要同步加强用药管理，确保谈判药品合理、规范使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省份要按要求及时报告相关工作进展，对进展缓慢、未按规定时限执行政策的省份，国家将适时督促通报。国家医保局将在全国选择部分统筹地区，对新版目录调整后药品使用情况进行重点监测，具体要求另行通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五、强化宣传培训，合理引导预期</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各有关部门要加强政策解读，合理引导社会预期，积极营造各方面理解、支持医保药品目录调整工作的良好舆论氛围。逐级开展政策和业务培训，加强对各级医保部门、定点医疗机构和医务人员的指导，及时引导和回应患者关切，稳妥处置社会舆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六、加强统筹协调，形成实施合力</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谈判药品落地工作关系参保患者切身利益，中央领导同志高度重视、社会各界广泛关注，各地医保、卫生健康等相关部门务必提高政治站位，统一思想、周密组织、扎实推进，加强组织领导、科学精细管理、密切跟踪进展，确保谈判药品平稳落地，把好事办好。各级医保部门要主动会同卫生健康等相关部门做好包括谈判药品在内的新版目录落地执行工作。遇有重大问题，请及时向国家医保局报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both"/>
        <w:textAlignment w:val="auto"/>
        <w:rPr>
          <w:rFonts w:hint="default" w:ascii="Times New Roman" w:hAnsi="Times New Roman" w:eastAsia="方正仿宋_GBK" w:cs="方正仿宋_GBK"/>
          <w:sz w:val="32"/>
          <w:szCs w:val="32"/>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right"/>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国家医保局          国家卫生健康委</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2" w:firstLineChars="200"/>
        <w:jc w:val="right"/>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2019年12月16日</w:t>
      </w:r>
    </w:p>
    <w:p>
      <w:pPr>
        <w:keepNext w:val="0"/>
        <w:keepLines w:val="0"/>
        <w:pageBreakBefore w:val="0"/>
        <w:kinsoku/>
        <w:wordWrap/>
        <w:overflowPunct/>
        <w:topLinePunct w:val="0"/>
        <w:autoSpaceDE/>
        <w:autoSpaceDN/>
        <w:bidi w:val="0"/>
        <w:adjustRightInd/>
        <w:spacing w:line="260" w:lineRule="exact"/>
        <w:textAlignment w:val="auto"/>
        <w:outlineLvl w:val="9"/>
        <w:rPr>
          <w:rFonts w:hint="eastAsia"/>
        </w:rPr>
      </w:pPr>
    </w:p>
    <w:p>
      <w:pPr>
        <w:sectPr>
          <w:pgSz w:w="11906" w:h="16838"/>
          <w:pgMar w:top="1440" w:right="1417" w:bottom="1440" w:left="1797" w:header="851" w:footer="992" w:gutter="0"/>
          <w:pgNumType w:fmt="numberInDash"/>
          <w:cols w:space="720" w:num="1"/>
          <w:rtlGutter w:val="0"/>
          <w:docGrid w:type="linesAndChars" w:linePitch="312" w:charSpace="409"/>
        </w:sectPr>
      </w:pPr>
    </w:p>
    <w:p>
      <w:pPr>
        <w:pStyle w:val="7"/>
        <w:spacing w:before="0" w:beforeAutospacing="0" w:after="0" w:afterAutospacing="0"/>
        <w:rPr>
          <w:rFonts w:hint="eastAsia" w:ascii="方正黑体_GBK" w:hAnsi="黑体" w:eastAsia="方正黑体_GBK" w:cs="方正仿宋_GBK"/>
          <w:sz w:val="32"/>
          <w:szCs w:val="32"/>
        </w:rPr>
      </w:pPr>
      <w:bookmarkStart w:id="1" w:name="_GoBack"/>
      <w:bookmarkEnd w:id="1"/>
      <w:r>
        <w:rPr>
          <w:rFonts w:hint="eastAsia" w:ascii="方正黑体_GBK" w:hAnsi="黑体" w:eastAsia="方正黑体_GBK" w:cs="方正仿宋_GBK"/>
          <w:sz w:val="32"/>
          <w:szCs w:val="32"/>
        </w:rPr>
        <w:t>附件</w:t>
      </w:r>
    </w:p>
    <w:p>
      <w:pPr>
        <w:pStyle w:val="7"/>
        <w:spacing w:before="0" w:beforeAutospacing="0" w:after="0" w:afterAutospacing="0"/>
        <w:jc w:val="center"/>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实行医保报销事前审查的药品名单</w:t>
      </w:r>
    </w:p>
    <w:tbl>
      <w:tblPr>
        <w:tblStyle w:val="8"/>
        <w:tblW w:w="14000" w:type="dxa"/>
        <w:tblInd w:w="0" w:type="dxa"/>
        <w:tblLayout w:type="fixed"/>
        <w:tblCellMar>
          <w:top w:w="0" w:type="dxa"/>
          <w:left w:w="108" w:type="dxa"/>
          <w:bottom w:w="0" w:type="dxa"/>
          <w:right w:w="108" w:type="dxa"/>
        </w:tblCellMar>
      </w:tblPr>
      <w:tblGrid>
        <w:gridCol w:w="675"/>
        <w:gridCol w:w="1276"/>
        <w:gridCol w:w="1701"/>
        <w:gridCol w:w="1134"/>
        <w:gridCol w:w="5670"/>
        <w:gridCol w:w="3544"/>
      </w:tblGrid>
      <w:tr>
        <w:tblPrEx>
          <w:tblCellMar>
            <w:top w:w="0" w:type="dxa"/>
            <w:left w:w="108" w:type="dxa"/>
            <w:bottom w:w="0" w:type="dxa"/>
            <w:right w:w="108" w:type="dxa"/>
          </w:tblCellMar>
        </w:tblPrEx>
        <w:trPr>
          <w:trHeight w:val="274"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eastAsia="黑体" w:cs="宋体"/>
                <w:color w:val="000000"/>
                <w:kern w:val="0"/>
                <w:sz w:val="24"/>
                <w:szCs w:val="24"/>
              </w:rPr>
            </w:pPr>
            <w:r>
              <w:rPr>
                <w:rFonts w:hint="eastAsia" w:ascii="Times New Roman" w:hAnsi="黑体" w:eastAsia="黑体"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eastAsia="黑体" w:cs="宋体"/>
                <w:kern w:val="0"/>
                <w:sz w:val="24"/>
                <w:szCs w:val="24"/>
              </w:rPr>
            </w:pPr>
            <w:r>
              <w:rPr>
                <w:rFonts w:hint="eastAsia" w:ascii="Times New Roman" w:hAnsi="黑体" w:eastAsia="黑体" w:cs="宋体"/>
                <w:kern w:val="0"/>
                <w:sz w:val="24"/>
                <w:szCs w:val="24"/>
              </w:rPr>
              <w:t>药品名称</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eastAsia="黑体" w:cs="宋体"/>
                <w:kern w:val="0"/>
                <w:sz w:val="24"/>
                <w:szCs w:val="24"/>
              </w:rPr>
            </w:pPr>
            <w:r>
              <w:rPr>
                <w:rFonts w:hint="eastAsia" w:ascii="Times New Roman" w:hAnsi="黑体" w:eastAsia="黑体" w:cs="宋体"/>
                <w:kern w:val="0"/>
                <w:sz w:val="24"/>
                <w:szCs w:val="24"/>
              </w:rPr>
              <w:t>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黑体" w:eastAsia="黑体" w:cs="宋体"/>
                <w:kern w:val="0"/>
                <w:sz w:val="24"/>
                <w:szCs w:val="24"/>
              </w:rPr>
            </w:pPr>
            <w:r>
              <w:rPr>
                <w:rFonts w:hint="eastAsia" w:ascii="Times New Roman" w:hAnsi="黑体" w:eastAsia="黑体" w:cs="宋体"/>
                <w:kern w:val="0"/>
                <w:sz w:val="24"/>
                <w:szCs w:val="24"/>
              </w:rPr>
              <w:t>医保</w:t>
            </w:r>
          </w:p>
          <w:p>
            <w:pPr>
              <w:widowControl/>
              <w:snapToGrid w:val="0"/>
              <w:spacing w:line="340" w:lineRule="exact"/>
              <w:jc w:val="center"/>
              <w:rPr>
                <w:rFonts w:ascii="Times New Roman" w:hAnsi="Times New Roman" w:eastAsia="黑体" w:cs="宋体"/>
                <w:kern w:val="0"/>
                <w:sz w:val="24"/>
                <w:szCs w:val="24"/>
              </w:rPr>
            </w:pPr>
            <w:r>
              <w:rPr>
                <w:rFonts w:hint="eastAsia" w:ascii="Times New Roman" w:hAnsi="黑体" w:eastAsia="黑体" w:cs="宋体"/>
                <w:kern w:val="0"/>
                <w:sz w:val="24"/>
                <w:szCs w:val="24"/>
              </w:rPr>
              <w:t>属性</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eastAsia="黑体" w:cs="宋体"/>
                <w:kern w:val="0"/>
                <w:sz w:val="24"/>
                <w:szCs w:val="24"/>
              </w:rPr>
            </w:pPr>
            <w:r>
              <w:rPr>
                <w:rFonts w:hint="eastAsia" w:ascii="Times New Roman" w:hAnsi="黑体" w:eastAsia="黑体" w:cs="宋体"/>
                <w:kern w:val="0"/>
                <w:sz w:val="24"/>
                <w:szCs w:val="24"/>
              </w:rPr>
              <w:t>备注</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黑体" w:cs="宋体"/>
                <w:kern w:val="0"/>
                <w:sz w:val="24"/>
                <w:szCs w:val="24"/>
              </w:rPr>
            </w:pPr>
            <w:r>
              <w:rPr>
                <w:rFonts w:hint="eastAsia" w:ascii="Times New Roman" w:hAnsi="黑体" w:eastAsia="黑体" w:cs="宋体"/>
                <w:kern w:val="0"/>
                <w:sz w:val="24"/>
                <w:szCs w:val="24"/>
              </w:rPr>
              <w:t>协议有效期</w:t>
            </w:r>
          </w:p>
        </w:tc>
      </w:tr>
      <w:tr>
        <w:tblPrEx>
          <w:tblCellMar>
            <w:top w:w="0" w:type="dxa"/>
            <w:left w:w="108" w:type="dxa"/>
            <w:bottom w:w="0" w:type="dxa"/>
            <w:right w:w="108" w:type="dxa"/>
          </w:tblCellMar>
        </w:tblPrEx>
        <w:trPr>
          <w:trHeight w:val="97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ind w:left="-331" w:leftChars="-158" w:firstLine="332" w:firstLineChars="166"/>
              <w:jc w:val="center"/>
              <w:rPr>
                <w:rFonts w:hint="eastAsia" w:ascii="Times New Roman" w:hAnsi="Times New Roman" w:eastAsia="宋体" w:cs="宋体"/>
                <w:kern w:val="0"/>
                <w:sz w:val="20"/>
                <w:szCs w:val="20"/>
                <w:lang w:eastAsia="zh-CN"/>
              </w:rPr>
            </w:pPr>
            <w:r>
              <w:rPr>
                <w:rFonts w:hint="eastAsia" w:ascii="Times New Roman" w:hAnsi="宋体" w:cs="宋体"/>
                <w:kern w:val="0"/>
                <w:sz w:val="20"/>
                <w:szCs w:val="20"/>
              </w:rPr>
              <w:t>利妥昔单</w:t>
            </w:r>
            <w:r>
              <w:rPr>
                <w:rFonts w:hint="eastAsia" w:ascii="Times New Roman" w:hAnsi="宋体" w:cs="宋体"/>
                <w:kern w:val="0"/>
                <w:sz w:val="20"/>
                <w:szCs w:val="20"/>
                <w:lang w:eastAsia="zh-CN"/>
              </w:rPr>
              <w:t>抗</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限复发或耐药的滤泡性中央型淋巴瘤</w:t>
            </w:r>
            <w:r>
              <w:rPr>
                <w:rFonts w:hint="eastAsia" w:ascii="Times New Roman" w:hAnsi="Times New Roman" w:cs="宋体"/>
                <w:color w:val="000000"/>
                <w:kern w:val="0"/>
                <w:sz w:val="20"/>
                <w:szCs w:val="20"/>
              </w:rPr>
              <w:t>(</w:t>
            </w:r>
            <w:r>
              <w:rPr>
                <w:rFonts w:hint="eastAsia" w:ascii="Times New Roman" w:hAnsi="宋体" w:cs="宋体"/>
                <w:color w:val="000000"/>
                <w:kern w:val="0"/>
                <w:sz w:val="20"/>
                <w:szCs w:val="20"/>
              </w:rPr>
              <w:t>国际工作分类</w:t>
            </w:r>
            <w:r>
              <w:rPr>
                <w:rFonts w:hint="eastAsia" w:ascii="Times New Roman" w:hAnsi="Times New Roman" w:cs="宋体"/>
                <w:color w:val="000000"/>
                <w:kern w:val="0"/>
                <w:sz w:val="20"/>
                <w:szCs w:val="20"/>
              </w:rPr>
              <w:t>B</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C</w:t>
            </w:r>
            <w:r>
              <w:rPr>
                <w:rFonts w:hint="eastAsia" w:ascii="Times New Roman" w:hAnsi="宋体" w:cs="宋体"/>
                <w:color w:val="000000"/>
                <w:kern w:val="0"/>
                <w:sz w:val="20"/>
                <w:szCs w:val="20"/>
              </w:rPr>
              <w:t>和</w:t>
            </w:r>
            <w:r>
              <w:rPr>
                <w:rFonts w:hint="eastAsia" w:ascii="Times New Roman" w:hAnsi="Times New Roman" w:cs="宋体"/>
                <w:color w:val="000000"/>
                <w:kern w:val="0"/>
                <w:sz w:val="20"/>
                <w:szCs w:val="20"/>
              </w:rPr>
              <w:t>D</w:t>
            </w:r>
            <w:r>
              <w:rPr>
                <w:rFonts w:hint="eastAsia" w:ascii="Times New Roman" w:hAnsi="宋体" w:cs="宋体"/>
                <w:color w:val="000000"/>
                <w:kern w:val="0"/>
                <w:sz w:val="20"/>
                <w:szCs w:val="20"/>
              </w:rPr>
              <w:t>亚型的</w:t>
            </w:r>
            <w:r>
              <w:rPr>
                <w:rFonts w:hint="eastAsia" w:ascii="Times New Roman" w:hAnsi="Times New Roman" w:cs="宋体"/>
                <w:color w:val="000000"/>
                <w:kern w:val="0"/>
                <w:sz w:val="20"/>
                <w:szCs w:val="20"/>
              </w:rPr>
              <w:t>B</w:t>
            </w:r>
            <w:r>
              <w:rPr>
                <w:rFonts w:hint="eastAsia" w:ascii="Times New Roman" w:hAnsi="宋体" w:cs="宋体"/>
                <w:color w:val="000000"/>
                <w:kern w:val="0"/>
                <w:sz w:val="20"/>
                <w:szCs w:val="20"/>
              </w:rPr>
              <w:t>细胞非霍奇金淋巴瘤</w:t>
            </w:r>
            <w:r>
              <w:rPr>
                <w:rFonts w:hint="eastAsia" w:ascii="Times New Roman" w:hAnsi="Times New Roman" w:cs="宋体"/>
                <w:color w:val="000000"/>
                <w:kern w:val="0"/>
                <w:sz w:val="20"/>
                <w:szCs w:val="20"/>
              </w:rPr>
              <w:t>)</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CD20</w:t>
            </w:r>
            <w:r>
              <w:rPr>
                <w:rFonts w:hint="eastAsia" w:ascii="Times New Roman" w:hAnsi="宋体" w:cs="宋体"/>
                <w:color w:val="000000"/>
                <w:kern w:val="0"/>
                <w:sz w:val="20"/>
                <w:szCs w:val="20"/>
              </w:rPr>
              <w:t>阳性Ⅲ</w:t>
            </w:r>
            <w:r>
              <w:rPr>
                <w:rFonts w:hint="eastAsia" w:ascii="Times New Roman" w:hAnsi="Times New Roman" w:cs="宋体"/>
                <w:color w:val="000000"/>
                <w:kern w:val="0"/>
                <w:sz w:val="20"/>
                <w:szCs w:val="20"/>
              </w:rPr>
              <w:t>-</w:t>
            </w:r>
            <w:r>
              <w:rPr>
                <w:rFonts w:hint="eastAsia" w:ascii="Times New Roman" w:hAnsi="宋体" w:cs="宋体"/>
                <w:color w:val="000000"/>
                <w:kern w:val="0"/>
                <w:sz w:val="20"/>
                <w:szCs w:val="20"/>
              </w:rPr>
              <w:t>Ⅳ期滤泡性非霍奇金淋巴瘤，</w:t>
            </w:r>
            <w:r>
              <w:rPr>
                <w:rFonts w:hint="eastAsia" w:ascii="Times New Roman" w:hAnsi="Times New Roman" w:cs="宋体"/>
                <w:color w:val="000000"/>
                <w:kern w:val="0"/>
                <w:sz w:val="20"/>
                <w:szCs w:val="20"/>
              </w:rPr>
              <w:t>CD20</w:t>
            </w:r>
            <w:r>
              <w:rPr>
                <w:rFonts w:hint="eastAsia" w:ascii="Times New Roman" w:hAnsi="宋体" w:cs="宋体"/>
                <w:color w:val="000000"/>
                <w:kern w:val="0"/>
                <w:sz w:val="20"/>
                <w:szCs w:val="20"/>
              </w:rPr>
              <w:t>阳性弥漫大</w:t>
            </w:r>
            <w:r>
              <w:rPr>
                <w:rFonts w:hint="eastAsia" w:ascii="Times New Roman" w:hAnsi="Times New Roman" w:cs="宋体"/>
                <w:color w:val="000000"/>
                <w:kern w:val="0"/>
                <w:sz w:val="20"/>
                <w:szCs w:val="20"/>
              </w:rPr>
              <w:t>B</w:t>
            </w:r>
            <w:r>
              <w:rPr>
                <w:rFonts w:hint="eastAsia" w:ascii="Times New Roman" w:hAnsi="宋体" w:cs="宋体"/>
                <w:color w:val="000000"/>
                <w:kern w:val="0"/>
                <w:sz w:val="20"/>
                <w:szCs w:val="20"/>
              </w:rPr>
              <w:t>细胞性非霍奇金淋巴瘤；支付不超过</w:t>
            </w:r>
            <w:r>
              <w:rPr>
                <w:rFonts w:hint="eastAsia" w:ascii="Times New Roman" w:hAnsi="Times New Roman" w:cs="宋体"/>
                <w:color w:val="000000"/>
                <w:kern w:val="0"/>
                <w:sz w:val="20"/>
                <w:szCs w:val="20"/>
              </w:rPr>
              <w:t>8</w:t>
            </w:r>
            <w:r>
              <w:rPr>
                <w:rFonts w:hint="eastAsia" w:ascii="Times New Roman" w:hAnsi="宋体" w:cs="宋体"/>
                <w:color w:val="000000"/>
                <w:kern w:val="0"/>
                <w:sz w:val="20"/>
                <w:szCs w:val="20"/>
              </w:rPr>
              <w:t>个疗程。</w:t>
            </w:r>
          </w:p>
        </w:tc>
        <w:tc>
          <w:tcPr>
            <w:tcW w:w="3544" w:type="dxa"/>
            <w:tcBorders>
              <w:top w:val="nil"/>
              <w:left w:val="nil"/>
              <w:bottom w:val="single" w:color="auto" w:sz="4" w:space="0"/>
              <w:right w:val="single" w:color="auto" w:sz="4" w:space="0"/>
            </w:tcBorders>
            <w:noWrap/>
            <w:vAlign w:val="center"/>
          </w:tcPr>
          <w:p>
            <w:pPr>
              <w:widowControl/>
              <w:snapToGrid w:val="0"/>
              <w:spacing w:line="400" w:lineRule="exact"/>
              <w:jc w:val="left"/>
              <w:rPr>
                <w:rFonts w:ascii="Times New Roman" w:hAnsi="Times New Roman" w:cs="宋体"/>
                <w:color w:val="000000"/>
                <w:kern w:val="0"/>
                <w:sz w:val="22"/>
              </w:rPr>
            </w:pPr>
            <w:r>
              <w:rPr>
                <w:rFonts w:hint="eastAsia" w:ascii="Times New Roman" w:hAnsi="宋体" w:cs="宋体"/>
                <w:color w:val="000000"/>
                <w:kern w:val="0"/>
                <w:sz w:val="22"/>
              </w:rPr>
              <w:t>　</w:t>
            </w:r>
          </w:p>
        </w:tc>
      </w:tr>
      <w:tr>
        <w:tblPrEx>
          <w:tblCellMar>
            <w:top w:w="0" w:type="dxa"/>
            <w:left w:w="108" w:type="dxa"/>
            <w:bottom w:w="0" w:type="dxa"/>
            <w:right w:w="108" w:type="dxa"/>
          </w:tblCellMar>
        </w:tblPrEx>
        <w:trPr>
          <w:trHeight w:val="727"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硼替佐米</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限多发性骨髓瘤、复发或难治性套细胞淋巴瘤患者，并满足以下条件：</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、每</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个疗程需提供治疗有效的证据后方可继续支付；</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、由三级医院血液专科或血液专科医院医师处方。</w:t>
            </w:r>
          </w:p>
        </w:tc>
        <w:tc>
          <w:tcPr>
            <w:tcW w:w="3544" w:type="dxa"/>
            <w:tcBorders>
              <w:top w:val="nil"/>
              <w:left w:val="nil"/>
              <w:bottom w:val="single" w:color="auto" w:sz="4" w:space="0"/>
              <w:right w:val="single" w:color="auto" w:sz="4" w:space="0"/>
            </w:tcBorders>
            <w:noWrap/>
            <w:vAlign w:val="center"/>
          </w:tcPr>
          <w:p>
            <w:pPr>
              <w:widowControl/>
              <w:snapToGrid w:val="0"/>
              <w:spacing w:line="400" w:lineRule="exact"/>
              <w:jc w:val="left"/>
              <w:rPr>
                <w:rFonts w:ascii="Times New Roman" w:hAnsi="Times New Roman" w:cs="宋体"/>
                <w:color w:val="000000"/>
                <w:kern w:val="0"/>
                <w:sz w:val="22"/>
              </w:rPr>
            </w:pPr>
            <w:r>
              <w:rPr>
                <w:rFonts w:hint="eastAsia" w:ascii="Times New Roman" w:hAnsi="宋体" w:cs="宋体"/>
                <w:color w:val="000000"/>
                <w:kern w:val="0"/>
                <w:sz w:val="22"/>
              </w:rPr>
              <w:t>　</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阿比特龙</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限转移性去势抵抗性前列腺癌、新诊断的高危转移性内分泌治疗敏感性前列腺癌。</w:t>
            </w:r>
          </w:p>
        </w:tc>
        <w:tc>
          <w:tcPr>
            <w:tcW w:w="3544" w:type="dxa"/>
            <w:tcBorders>
              <w:top w:val="nil"/>
              <w:left w:val="nil"/>
              <w:bottom w:val="single" w:color="auto" w:sz="4" w:space="0"/>
              <w:right w:val="single" w:color="auto" w:sz="4" w:space="0"/>
            </w:tcBorders>
            <w:noWrap/>
            <w:vAlign w:val="center"/>
          </w:tcPr>
          <w:p>
            <w:pPr>
              <w:widowControl/>
              <w:snapToGrid w:val="0"/>
              <w:spacing w:line="400" w:lineRule="exact"/>
              <w:jc w:val="left"/>
              <w:rPr>
                <w:rFonts w:ascii="Times New Roman" w:hAnsi="Times New Roman" w:cs="宋体"/>
                <w:color w:val="000000"/>
                <w:kern w:val="0"/>
                <w:sz w:val="22"/>
              </w:rPr>
            </w:pPr>
            <w:r>
              <w:rPr>
                <w:rFonts w:hint="eastAsia" w:ascii="Times New Roman" w:hAnsi="宋体" w:cs="宋体"/>
                <w:color w:val="000000"/>
                <w:kern w:val="0"/>
                <w:sz w:val="22"/>
              </w:rPr>
              <w:t>　</w:t>
            </w:r>
          </w:p>
        </w:tc>
      </w:tr>
      <w:tr>
        <w:tblPrEx>
          <w:tblCellMar>
            <w:top w:w="0" w:type="dxa"/>
            <w:left w:w="108" w:type="dxa"/>
            <w:bottom w:w="0" w:type="dxa"/>
            <w:right w:w="108" w:type="dxa"/>
          </w:tblCellMar>
        </w:tblPrEx>
        <w:trPr>
          <w:trHeight w:val="874"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4</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来那度胺</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限曾接受过至少一种疗法的多发性骨髓瘤的成年患者，并满足以下条件：</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、每</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个疗程需提供治疗有效的证据后方可继续支付；</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、由三级医院血液专科或血液专科医院医师处方。</w:t>
            </w:r>
          </w:p>
        </w:tc>
        <w:tc>
          <w:tcPr>
            <w:tcW w:w="3544" w:type="dxa"/>
            <w:tcBorders>
              <w:top w:val="nil"/>
              <w:left w:val="nil"/>
              <w:bottom w:val="single" w:color="auto" w:sz="4" w:space="0"/>
              <w:right w:val="single" w:color="auto" w:sz="4" w:space="0"/>
            </w:tcBorders>
            <w:noWrap/>
            <w:vAlign w:val="center"/>
          </w:tcPr>
          <w:p>
            <w:pPr>
              <w:widowControl/>
              <w:snapToGrid w:val="0"/>
              <w:spacing w:line="400" w:lineRule="exact"/>
              <w:jc w:val="left"/>
              <w:rPr>
                <w:rFonts w:ascii="Times New Roman" w:hAnsi="Times New Roman" w:cs="宋体"/>
                <w:color w:val="000000"/>
                <w:kern w:val="0"/>
                <w:sz w:val="22"/>
              </w:rPr>
            </w:pPr>
            <w:r>
              <w:rPr>
                <w:rFonts w:hint="eastAsia" w:ascii="Times New Roman" w:hAnsi="宋体" w:cs="宋体"/>
                <w:color w:val="000000"/>
                <w:kern w:val="0"/>
                <w:sz w:val="22"/>
              </w:rPr>
              <w:t>　</w:t>
            </w:r>
          </w:p>
        </w:tc>
      </w:tr>
      <w:tr>
        <w:tblPrEx>
          <w:tblCellMar>
            <w:top w:w="0" w:type="dxa"/>
            <w:left w:w="108" w:type="dxa"/>
            <w:bottom w:w="0" w:type="dxa"/>
            <w:right w:w="108" w:type="dxa"/>
          </w:tblCellMar>
        </w:tblPrEx>
        <w:trPr>
          <w:trHeight w:val="451"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5</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奥曲肽</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微球注射剂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限胃肠胰内分泌肿瘤、肢端肥大症，按说明书用药。</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937"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6</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阿扎胞苷</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成年患者中</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国际预后评分系统（</w:t>
            </w:r>
            <w:r>
              <w:rPr>
                <w:rFonts w:hint="eastAsia" w:ascii="Times New Roman" w:hAnsi="Times New Roman" w:cs="宋体"/>
                <w:color w:val="000000"/>
                <w:kern w:val="0"/>
                <w:sz w:val="20"/>
                <w:szCs w:val="20"/>
              </w:rPr>
              <w:t>IPSS</w:t>
            </w:r>
            <w:r>
              <w:rPr>
                <w:rFonts w:hint="eastAsia" w:ascii="Times New Roman" w:hAnsi="宋体" w:cs="宋体"/>
                <w:color w:val="000000"/>
                <w:kern w:val="0"/>
                <w:sz w:val="20"/>
                <w:szCs w:val="20"/>
              </w:rPr>
              <w:t>）中的中危</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及高危骨髓增生异常综合征（</w:t>
            </w:r>
            <w:r>
              <w:rPr>
                <w:rFonts w:hint="eastAsia" w:ascii="Times New Roman" w:hAnsi="Times New Roman" w:cs="宋体"/>
                <w:color w:val="000000"/>
                <w:kern w:val="0"/>
                <w:sz w:val="20"/>
                <w:szCs w:val="20"/>
              </w:rPr>
              <w:t>MDS)</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慢性粒</w:t>
            </w:r>
            <w:r>
              <w:rPr>
                <w:rFonts w:hint="eastAsia" w:ascii="Times New Roman" w:hAnsi="Times New Roman" w:cs="宋体"/>
                <w:color w:val="000000"/>
                <w:kern w:val="0"/>
                <w:sz w:val="20"/>
                <w:szCs w:val="20"/>
              </w:rPr>
              <w:t>-</w:t>
            </w:r>
            <w:r>
              <w:rPr>
                <w:rFonts w:hint="eastAsia" w:ascii="Times New Roman" w:hAnsi="宋体" w:cs="宋体"/>
                <w:color w:val="000000"/>
                <w:kern w:val="0"/>
                <w:sz w:val="20"/>
                <w:szCs w:val="20"/>
              </w:rPr>
              <w:t>单核细胞白血病（</w:t>
            </w:r>
            <w:r>
              <w:rPr>
                <w:rFonts w:hint="eastAsia" w:ascii="Times New Roman" w:hAnsi="Times New Roman" w:cs="宋体"/>
                <w:color w:val="000000"/>
                <w:kern w:val="0"/>
                <w:sz w:val="20"/>
                <w:szCs w:val="20"/>
              </w:rPr>
              <w:t>CMML)</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按照世界卫生组织（</w:t>
            </w:r>
            <w:r>
              <w:rPr>
                <w:rFonts w:hint="eastAsia" w:ascii="Times New Roman" w:hAnsi="Times New Roman" w:cs="宋体"/>
                <w:color w:val="000000"/>
                <w:kern w:val="0"/>
                <w:sz w:val="20"/>
                <w:szCs w:val="20"/>
              </w:rPr>
              <w:t>WHO</w:t>
            </w:r>
            <w:r>
              <w:rPr>
                <w:rFonts w:hint="eastAsia" w:ascii="Times New Roman" w:hAnsi="宋体" w:cs="宋体"/>
                <w:color w:val="000000"/>
                <w:kern w:val="0"/>
                <w:sz w:val="20"/>
                <w:szCs w:val="20"/>
              </w:rPr>
              <w:t>）分类的急性髓系白血病（</w:t>
            </w:r>
            <w:r>
              <w:rPr>
                <w:rFonts w:hint="eastAsia" w:ascii="Times New Roman" w:hAnsi="Times New Roman" w:cs="宋体"/>
                <w:color w:val="000000"/>
                <w:kern w:val="0"/>
                <w:sz w:val="20"/>
                <w:szCs w:val="20"/>
              </w:rPr>
              <w:t>AML</w:t>
            </w:r>
            <w:r>
              <w:rPr>
                <w:rFonts w:hint="eastAsia" w:ascii="Times New Roman" w:hAnsi="宋体" w:cs="宋体"/>
                <w:color w:val="000000"/>
                <w:kern w:val="0"/>
                <w:sz w:val="20"/>
                <w:szCs w:val="20"/>
              </w:rPr>
              <w:t>）、骨髓原始细胞为</w:t>
            </w:r>
            <w:r>
              <w:rPr>
                <w:rFonts w:hint="eastAsia" w:ascii="Times New Roman" w:hAnsi="Times New Roman" w:cs="宋体"/>
                <w:color w:val="000000"/>
                <w:kern w:val="0"/>
                <w:sz w:val="20"/>
                <w:szCs w:val="20"/>
              </w:rPr>
              <w:t>20-30%</w:t>
            </w:r>
            <w:r>
              <w:rPr>
                <w:rFonts w:hint="eastAsia" w:ascii="Times New Roman" w:hAnsi="宋体" w:cs="宋体"/>
                <w:color w:val="000000"/>
                <w:kern w:val="0"/>
                <w:sz w:val="20"/>
                <w:szCs w:val="20"/>
              </w:rPr>
              <w:t>伴多系发育异常的治疗。</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hint="eastAsia" w:ascii="Times New Roman" w:hAnsi="Times New Roman" w:cs="宋体"/>
                <w:color w:val="000000"/>
                <w:kern w:val="0"/>
                <w:sz w:val="22"/>
              </w:rPr>
            </w:pPr>
            <w:r>
              <w:rPr>
                <w:rFonts w:hint="eastAsia" w:ascii="Times New Roman" w:hAnsi="黑体" w:eastAsia="黑体"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药品名称</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黑体" w:eastAsia="黑体" w:cs="宋体"/>
                <w:kern w:val="0"/>
                <w:sz w:val="24"/>
                <w:szCs w:val="24"/>
              </w:rPr>
            </w:pPr>
            <w:r>
              <w:rPr>
                <w:rFonts w:hint="eastAsia" w:ascii="Times New Roman" w:hAnsi="黑体" w:eastAsia="黑体" w:cs="宋体"/>
                <w:kern w:val="0"/>
                <w:sz w:val="24"/>
                <w:szCs w:val="24"/>
              </w:rPr>
              <w:t>医保</w:t>
            </w:r>
          </w:p>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属性</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备注</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cs="宋体"/>
                <w:color w:val="000000"/>
                <w:kern w:val="0"/>
                <w:sz w:val="20"/>
                <w:szCs w:val="20"/>
              </w:rPr>
            </w:pPr>
            <w:r>
              <w:rPr>
                <w:rFonts w:hint="eastAsia" w:ascii="Times New Roman" w:hAnsi="黑体" w:eastAsia="黑体" w:cs="宋体"/>
                <w:kern w:val="0"/>
                <w:sz w:val="24"/>
                <w:szCs w:val="24"/>
              </w:rPr>
              <w:t>协议有效期</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7</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西妥昔单抗</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w:t>
            </w:r>
            <w:r>
              <w:rPr>
                <w:rFonts w:hint="eastAsia" w:ascii="Times New Roman" w:hAnsi="Times New Roman" w:cs="宋体"/>
                <w:color w:val="000000"/>
                <w:kern w:val="0"/>
                <w:sz w:val="20"/>
                <w:szCs w:val="20"/>
              </w:rPr>
              <w:t>RAS</w:t>
            </w:r>
            <w:r>
              <w:rPr>
                <w:rFonts w:hint="eastAsia" w:ascii="Times New Roman" w:hAnsi="宋体" w:cs="宋体"/>
                <w:color w:val="000000"/>
                <w:kern w:val="0"/>
                <w:sz w:val="20"/>
                <w:szCs w:val="20"/>
              </w:rPr>
              <w:t>基因野生型的转移性结直肠癌。</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677"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8</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贝伐珠单抗</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限晚期转移性结直肠癌或晚期非鳞非小细胞肺癌。</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62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9</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尼妥珠单抗</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限与放疗联合治疗表皮生长因子受体（</w:t>
            </w:r>
            <w:r>
              <w:rPr>
                <w:rFonts w:hint="eastAsia" w:ascii="Times New Roman" w:hAnsi="Times New Roman" w:cs="宋体"/>
                <w:color w:val="000000"/>
                <w:kern w:val="0"/>
                <w:sz w:val="20"/>
                <w:szCs w:val="20"/>
              </w:rPr>
              <w:t>EGFR</w:t>
            </w:r>
            <w:r>
              <w:rPr>
                <w:rFonts w:hint="eastAsia" w:ascii="Times New Roman" w:hAnsi="宋体" w:cs="宋体"/>
                <w:color w:val="000000"/>
                <w:kern w:val="0"/>
                <w:sz w:val="20"/>
                <w:szCs w:val="20"/>
              </w:rPr>
              <w:t>）表达阳性的</w:t>
            </w:r>
            <w:r>
              <w:rPr>
                <w:rFonts w:hint="eastAsia" w:ascii="Times New Roman" w:hAnsi="Times New Roman" w:cs="宋体"/>
                <w:color w:val="000000"/>
                <w:kern w:val="0"/>
                <w:sz w:val="20"/>
                <w:szCs w:val="20"/>
              </w:rPr>
              <w:t>III/IV</w:t>
            </w:r>
            <w:r>
              <w:rPr>
                <w:rFonts w:hint="eastAsia" w:ascii="Times New Roman" w:hAnsi="宋体" w:cs="宋体"/>
                <w:color w:val="000000"/>
                <w:kern w:val="0"/>
                <w:sz w:val="20"/>
                <w:szCs w:val="20"/>
              </w:rPr>
              <w:t>期鼻咽癌。</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90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10</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曲妥珠单抗</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限以下情况方可支付：</w:t>
            </w:r>
            <w:r>
              <w:rPr>
                <w:rFonts w:hint="eastAsia" w:ascii="Times New Roman" w:hAnsi="Times New Roman" w:cs="宋体"/>
                <w:color w:val="000000"/>
                <w:kern w:val="0"/>
                <w:sz w:val="20"/>
                <w:szCs w:val="20"/>
              </w:rPr>
              <w:t>1.HER2</w:t>
            </w:r>
            <w:r>
              <w:rPr>
                <w:rFonts w:hint="eastAsia" w:ascii="Times New Roman" w:hAnsi="宋体" w:cs="宋体"/>
                <w:color w:val="000000"/>
                <w:kern w:val="0"/>
                <w:sz w:val="20"/>
                <w:szCs w:val="20"/>
              </w:rPr>
              <w:t>阳性的转移性乳腺癌；</w:t>
            </w:r>
            <w:r>
              <w:rPr>
                <w:rFonts w:hint="eastAsia" w:ascii="Times New Roman" w:hAnsi="Times New Roman" w:cs="宋体"/>
                <w:color w:val="000000"/>
                <w:kern w:val="0"/>
                <w:sz w:val="20"/>
                <w:szCs w:val="20"/>
              </w:rPr>
              <w:t>2.HER2</w:t>
            </w:r>
            <w:r>
              <w:rPr>
                <w:rFonts w:hint="eastAsia" w:ascii="Times New Roman" w:hAnsi="宋体" w:cs="宋体"/>
                <w:color w:val="000000"/>
                <w:kern w:val="0"/>
                <w:sz w:val="20"/>
                <w:szCs w:val="20"/>
              </w:rPr>
              <w:t>阳性的早期乳腺癌患者的辅助和新辅助治疗，支付不超过</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个月；</w:t>
            </w:r>
            <w:r>
              <w:rPr>
                <w:rFonts w:hint="eastAsia" w:ascii="Times New Roman" w:hAnsi="Times New Roman" w:cs="宋体"/>
                <w:color w:val="000000"/>
                <w:kern w:val="0"/>
                <w:sz w:val="20"/>
                <w:szCs w:val="20"/>
              </w:rPr>
              <w:t>3.HER2</w:t>
            </w:r>
            <w:r>
              <w:rPr>
                <w:rFonts w:hint="eastAsia" w:ascii="Times New Roman" w:hAnsi="宋体" w:cs="宋体"/>
                <w:color w:val="000000"/>
                <w:kern w:val="0"/>
                <w:sz w:val="20"/>
                <w:szCs w:val="20"/>
              </w:rPr>
              <w:t>阳性的转移性胃癌患者。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855"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11</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帕妥珠单抗</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限以下情况方可支付，且支付不超过</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个月：</w:t>
            </w:r>
            <w:r>
              <w:rPr>
                <w:rFonts w:hint="eastAsia" w:ascii="Times New Roman" w:hAnsi="Times New Roman" w:cs="宋体"/>
                <w:color w:val="000000"/>
                <w:kern w:val="0"/>
                <w:sz w:val="20"/>
                <w:szCs w:val="20"/>
              </w:rPr>
              <w:t>1.HER2</w:t>
            </w:r>
            <w:r>
              <w:rPr>
                <w:rFonts w:hint="eastAsia" w:ascii="Times New Roman" w:hAnsi="宋体" w:cs="宋体"/>
                <w:color w:val="000000"/>
                <w:kern w:val="0"/>
                <w:sz w:val="20"/>
                <w:szCs w:val="20"/>
              </w:rPr>
              <w:t>阳性的局部晚期、炎性或早期乳腺癌患者的新辅助治疗。</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具有高复发风险</w:t>
            </w:r>
            <w:r>
              <w:rPr>
                <w:rFonts w:hint="eastAsia" w:ascii="Times New Roman" w:hAnsi="Times New Roman" w:cs="宋体"/>
                <w:color w:val="000000"/>
                <w:kern w:val="0"/>
                <w:sz w:val="20"/>
                <w:szCs w:val="20"/>
              </w:rPr>
              <w:t>HER2</w:t>
            </w:r>
            <w:r>
              <w:rPr>
                <w:rFonts w:hint="eastAsia" w:ascii="Times New Roman" w:hAnsi="宋体" w:cs="宋体"/>
                <w:color w:val="000000"/>
                <w:kern w:val="0"/>
                <w:sz w:val="20"/>
                <w:szCs w:val="20"/>
              </w:rPr>
              <w:t>阳性早期乳腺癌患者的辅助治疗。</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51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12</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信迪利单抗</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限至少经过二线系统化疗的复发或难治性经典型霍奇金淋巴瘤的患者。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603"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13</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厄洛替尼</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限表皮生长因子受体（</w:t>
            </w:r>
            <w:r>
              <w:rPr>
                <w:rFonts w:hint="eastAsia" w:ascii="Times New Roman" w:hAnsi="Times New Roman" w:cs="宋体"/>
                <w:color w:val="000000"/>
                <w:kern w:val="0"/>
                <w:sz w:val="20"/>
                <w:szCs w:val="20"/>
              </w:rPr>
              <w:t>EGFR</w:t>
            </w:r>
            <w:r>
              <w:rPr>
                <w:rFonts w:hint="eastAsia" w:ascii="Times New Roman" w:hAnsi="宋体" w:cs="宋体"/>
                <w:color w:val="000000"/>
                <w:kern w:val="0"/>
                <w:sz w:val="20"/>
                <w:szCs w:val="20"/>
              </w:rPr>
              <w:t>）基因敏感突变的晚期非小细胞肺癌患者。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1013"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14</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阿法替尼</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具有</w:t>
            </w:r>
            <w:r>
              <w:rPr>
                <w:rFonts w:hint="eastAsia" w:ascii="Times New Roman" w:hAnsi="Times New Roman" w:cs="宋体"/>
                <w:color w:val="000000"/>
                <w:kern w:val="0"/>
                <w:sz w:val="20"/>
                <w:szCs w:val="20"/>
              </w:rPr>
              <w:t>EGFR</w:t>
            </w:r>
            <w:r>
              <w:rPr>
                <w:rFonts w:hint="eastAsia" w:ascii="Times New Roman" w:hAnsi="宋体" w:cs="宋体"/>
                <w:color w:val="000000"/>
                <w:kern w:val="0"/>
                <w:sz w:val="20"/>
                <w:szCs w:val="20"/>
              </w:rPr>
              <w:t>基因敏感突变的局部晚期或转移性非小细胞肺癌，既往未接受过</w:t>
            </w:r>
            <w:r>
              <w:rPr>
                <w:rFonts w:hint="eastAsia" w:ascii="Times New Roman" w:hAnsi="Times New Roman" w:cs="宋体"/>
                <w:color w:val="000000"/>
                <w:kern w:val="0"/>
                <w:sz w:val="20"/>
                <w:szCs w:val="20"/>
              </w:rPr>
              <w:t>EGFR-TKI</w:t>
            </w:r>
            <w:r>
              <w:rPr>
                <w:rFonts w:hint="eastAsia" w:ascii="Times New Roman" w:hAnsi="宋体" w:cs="宋体"/>
                <w:color w:val="000000"/>
                <w:kern w:val="0"/>
                <w:sz w:val="20"/>
                <w:szCs w:val="20"/>
              </w:rPr>
              <w:t>治疗。</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含铂化疗期间或化疗后疾病进展的局部晚期或转移性鳞状组织学类型的非小细胞肺癌。</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81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15</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奥希替尼</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限既往因表皮生长因子受体（</w:t>
            </w:r>
            <w:r>
              <w:rPr>
                <w:rFonts w:hint="eastAsia" w:ascii="Times New Roman" w:hAnsi="Times New Roman" w:cs="宋体"/>
                <w:color w:val="000000"/>
                <w:kern w:val="0"/>
                <w:sz w:val="20"/>
                <w:szCs w:val="20"/>
              </w:rPr>
              <w:t>EGFR</w:t>
            </w:r>
            <w:r>
              <w:rPr>
                <w:rFonts w:hint="eastAsia" w:ascii="Times New Roman" w:hAnsi="宋体" w:cs="宋体"/>
                <w:color w:val="000000"/>
                <w:kern w:val="0"/>
                <w:sz w:val="20"/>
                <w:szCs w:val="20"/>
              </w:rPr>
              <w:t>）酪氨酸激酶抑制剂（</w:t>
            </w:r>
            <w:r>
              <w:rPr>
                <w:rFonts w:hint="eastAsia" w:ascii="Times New Roman" w:hAnsi="Times New Roman" w:cs="宋体"/>
                <w:color w:val="000000"/>
                <w:kern w:val="0"/>
                <w:sz w:val="20"/>
                <w:szCs w:val="20"/>
              </w:rPr>
              <w:t>TKI</w:t>
            </w:r>
            <w:r>
              <w:rPr>
                <w:rFonts w:hint="eastAsia" w:ascii="Times New Roman" w:hAnsi="宋体" w:cs="宋体"/>
                <w:color w:val="000000"/>
                <w:kern w:val="0"/>
                <w:sz w:val="20"/>
                <w:szCs w:val="20"/>
              </w:rPr>
              <w:t>）治疗时或治疗后出现疾病进展，并且经检验确认存在</w:t>
            </w:r>
            <w:r>
              <w:rPr>
                <w:rFonts w:hint="eastAsia" w:ascii="Times New Roman" w:hAnsi="Times New Roman" w:cs="宋体"/>
                <w:color w:val="000000"/>
                <w:kern w:val="0"/>
                <w:sz w:val="20"/>
                <w:szCs w:val="20"/>
              </w:rPr>
              <w:t xml:space="preserve">EGFR T790M </w:t>
            </w:r>
            <w:r>
              <w:rPr>
                <w:rFonts w:hint="eastAsia" w:ascii="Times New Roman" w:hAnsi="宋体" w:cs="宋体"/>
                <w:color w:val="000000"/>
                <w:kern w:val="0"/>
                <w:sz w:val="20"/>
                <w:szCs w:val="20"/>
              </w:rPr>
              <w:t>突变阳性的局部晚期或转移性非小细胞肺癌成人患者。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7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hint="eastAsia" w:ascii="Times New Roman" w:hAnsi="Times New Roman" w:cs="宋体"/>
                <w:color w:val="000000"/>
                <w:kern w:val="0"/>
                <w:sz w:val="22"/>
              </w:rPr>
            </w:pPr>
            <w:r>
              <w:rPr>
                <w:rFonts w:hint="eastAsia" w:ascii="Times New Roman" w:hAnsi="黑体" w:eastAsia="黑体"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药品名称</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黑体" w:eastAsia="黑体" w:cs="宋体"/>
                <w:kern w:val="0"/>
                <w:sz w:val="24"/>
                <w:szCs w:val="24"/>
              </w:rPr>
            </w:pPr>
            <w:r>
              <w:rPr>
                <w:rFonts w:hint="eastAsia" w:ascii="Times New Roman" w:hAnsi="黑体" w:eastAsia="黑体" w:cs="宋体"/>
                <w:kern w:val="0"/>
                <w:sz w:val="24"/>
                <w:szCs w:val="24"/>
              </w:rPr>
              <w:t>医保</w:t>
            </w:r>
          </w:p>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属性</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备注</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cs="宋体"/>
                <w:color w:val="000000"/>
                <w:kern w:val="0"/>
                <w:sz w:val="20"/>
                <w:szCs w:val="20"/>
              </w:rPr>
            </w:pPr>
            <w:r>
              <w:rPr>
                <w:rFonts w:hint="eastAsia" w:ascii="Times New Roman" w:hAnsi="黑体" w:eastAsia="黑体" w:cs="宋体"/>
                <w:kern w:val="0"/>
                <w:sz w:val="24"/>
                <w:szCs w:val="24"/>
              </w:rPr>
              <w:t>协议有效期</w:t>
            </w:r>
          </w:p>
        </w:tc>
      </w:tr>
      <w:tr>
        <w:tblPrEx>
          <w:tblCellMar>
            <w:top w:w="0" w:type="dxa"/>
            <w:left w:w="108" w:type="dxa"/>
            <w:bottom w:w="0" w:type="dxa"/>
            <w:right w:w="108" w:type="dxa"/>
          </w:tblCellMar>
        </w:tblPrEx>
        <w:trPr>
          <w:trHeight w:val="7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16</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安罗替尼</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限既往至少接受过</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种系统化疗后出现进展或复发的局部晚期或转移性非小细胞肺癌患者。</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17</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克唑替尼</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限间变性淋巴瘤激酶（</w:t>
            </w:r>
            <w:r>
              <w:rPr>
                <w:rFonts w:hint="eastAsia" w:ascii="Times New Roman" w:hAnsi="Times New Roman" w:cs="宋体"/>
                <w:color w:val="000000"/>
                <w:kern w:val="0"/>
                <w:sz w:val="20"/>
                <w:szCs w:val="20"/>
              </w:rPr>
              <w:t>ALK</w:t>
            </w:r>
            <w:r>
              <w:rPr>
                <w:rFonts w:hint="eastAsia" w:ascii="Times New Roman" w:hAnsi="宋体" w:cs="宋体"/>
                <w:color w:val="000000"/>
                <w:kern w:val="0"/>
                <w:sz w:val="20"/>
                <w:szCs w:val="20"/>
              </w:rPr>
              <w:t>）阳性的局部晚期或转移性非小细胞肺癌患者或</w:t>
            </w:r>
            <w:r>
              <w:rPr>
                <w:rFonts w:hint="eastAsia" w:ascii="Times New Roman" w:hAnsi="Times New Roman" w:cs="宋体"/>
                <w:color w:val="000000"/>
                <w:kern w:val="0"/>
                <w:sz w:val="20"/>
                <w:szCs w:val="20"/>
              </w:rPr>
              <w:t xml:space="preserve"> ROS1</w:t>
            </w:r>
            <w:r>
              <w:rPr>
                <w:rFonts w:hint="eastAsia" w:ascii="Times New Roman" w:hAnsi="宋体" w:cs="宋体"/>
                <w:color w:val="000000"/>
                <w:kern w:val="0"/>
                <w:sz w:val="20"/>
                <w:szCs w:val="20"/>
              </w:rPr>
              <w:t>阳性的晚期非小细胞肺癌患者。</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84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18</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塞瑞替尼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接受过克唑替尼治疗后进展的或者对克唑替尼不耐受的间变性淋巴瘤激酶（</w:t>
            </w:r>
            <w:r>
              <w:rPr>
                <w:rFonts w:hint="eastAsia" w:ascii="Times New Roman" w:hAnsi="Times New Roman" w:cs="宋体"/>
                <w:color w:val="000000"/>
                <w:kern w:val="0"/>
                <w:sz w:val="20"/>
                <w:szCs w:val="20"/>
              </w:rPr>
              <w:t>ALK</w:t>
            </w:r>
            <w:r>
              <w:rPr>
                <w:rFonts w:hint="eastAsia" w:ascii="Times New Roman" w:hAnsi="宋体" w:cs="宋体"/>
                <w:color w:val="000000"/>
                <w:kern w:val="0"/>
                <w:sz w:val="20"/>
                <w:szCs w:val="20"/>
              </w:rPr>
              <w:t>）阳性局部晚期或转移性非小细胞肺癌患者。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885"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19</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阿来替尼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限间变性淋巴瘤激酶（</w:t>
            </w:r>
            <w:r>
              <w:rPr>
                <w:rFonts w:hint="eastAsia" w:ascii="Times New Roman" w:hAnsi="Times New Roman" w:cs="宋体"/>
                <w:color w:val="000000"/>
                <w:kern w:val="0"/>
                <w:sz w:val="20"/>
                <w:szCs w:val="20"/>
              </w:rPr>
              <w:t>ALK</w:t>
            </w:r>
            <w:r>
              <w:rPr>
                <w:rFonts w:hint="eastAsia" w:ascii="Times New Roman" w:hAnsi="宋体" w:cs="宋体"/>
                <w:color w:val="000000"/>
                <w:kern w:val="0"/>
                <w:sz w:val="20"/>
                <w:szCs w:val="20"/>
              </w:rPr>
              <w:t>）阳性的局部晚期或转移性非小细胞肺癌患者。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20</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培唑帕尼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限晚期肾细胞癌患者的一线治疗和曾经接受过细胞因子治疗的晚期肾细胞癌的治疗。</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21</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阿昔替尼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限既往接受过一种酪氨酸激酶抑制剂或细胞因子治疗失败的进展期肾细胞癌</w:t>
            </w:r>
            <w:r>
              <w:rPr>
                <w:rFonts w:hint="eastAsia" w:ascii="Times New Roman" w:hAnsi="Times New Roman" w:cs="宋体"/>
                <w:color w:val="000000"/>
                <w:kern w:val="0"/>
                <w:sz w:val="20"/>
                <w:szCs w:val="20"/>
              </w:rPr>
              <w:t>(RCC)</w:t>
            </w:r>
            <w:r>
              <w:rPr>
                <w:rFonts w:hint="eastAsia" w:ascii="Times New Roman" w:hAnsi="宋体" w:cs="宋体"/>
                <w:color w:val="000000"/>
                <w:kern w:val="0"/>
                <w:sz w:val="20"/>
                <w:szCs w:val="20"/>
              </w:rPr>
              <w:t>的成人患者。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825"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22</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索拉非尼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限以下情况方可支付：</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不能手术的肾细胞癌。</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不能手术或远处转移的肝细胞癌。</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放射性碘治疗无效的局部复发或转移性、分化型甲状腺癌。</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23</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瑞戈非尼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肝细胞癌二线治疗；</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转移性结直肠癌三线治疗；</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胃肠道间质瘤三线治疗。</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765"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24</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舒尼替尼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不能手术的晚期肾细胞癌（</w:t>
            </w:r>
            <w:r>
              <w:rPr>
                <w:rFonts w:hint="eastAsia" w:ascii="Times New Roman" w:hAnsi="Times New Roman" w:cs="宋体"/>
                <w:color w:val="000000"/>
                <w:kern w:val="0"/>
                <w:sz w:val="20"/>
                <w:szCs w:val="20"/>
              </w:rPr>
              <w:t>RCC)</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甲磺酸伊马替尼治疗失败或不能耐受的胃肠间质瘤（</w:t>
            </w:r>
            <w:r>
              <w:rPr>
                <w:rFonts w:hint="eastAsia" w:ascii="Times New Roman" w:hAnsi="Times New Roman" w:cs="宋体"/>
                <w:color w:val="000000"/>
                <w:kern w:val="0"/>
                <w:sz w:val="20"/>
                <w:szCs w:val="20"/>
              </w:rPr>
              <w:t>GIST)</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不可切除的，转移性高分化进展期胰腺神经内分泌瘤（</w:t>
            </w:r>
            <w:r>
              <w:rPr>
                <w:rFonts w:hint="eastAsia" w:ascii="Times New Roman" w:hAnsi="Times New Roman" w:cs="宋体"/>
                <w:color w:val="000000"/>
                <w:kern w:val="0"/>
                <w:sz w:val="20"/>
                <w:szCs w:val="20"/>
              </w:rPr>
              <w:t>pNET</w:t>
            </w:r>
            <w:r>
              <w:rPr>
                <w:rFonts w:hint="eastAsia" w:ascii="Times New Roman" w:hAnsi="宋体" w:cs="宋体"/>
                <w:color w:val="000000"/>
                <w:kern w:val="0"/>
                <w:sz w:val="20"/>
                <w:szCs w:val="20"/>
              </w:rPr>
              <w:t>）成人患者。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71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hint="eastAsia" w:ascii="Times New Roman" w:hAnsi="Times New Roman" w:cs="宋体"/>
                <w:color w:val="000000"/>
                <w:kern w:val="0"/>
                <w:sz w:val="22"/>
              </w:rPr>
            </w:pPr>
            <w:r>
              <w:rPr>
                <w:rFonts w:hint="eastAsia" w:ascii="Times New Roman" w:hAnsi="黑体" w:eastAsia="黑体"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药品名称</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黑体" w:eastAsia="黑体" w:cs="宋体"/>
                <w:kern w:val="0"/>
                <w:sz w:val="24"/>
                <w:szCs w:val="24"/>
              </w:rPr>
            </w:pPr>
            <w:r>
              <w:rPr>
                <w:rFonts w:hint="eastAsia" w:ascii="Times New Roman" w:hAnsi="黑体" w:eastAsia="黑体" w:cs="宋体"/>
                <w:kern w:val="0"/>
                <w:sz w:val="24"/>
                <w:szCs w:val="24"/>
              </w:rPr>
              <w:t>医保</w:t>
            </w:r>
          </w:p>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属性</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备注</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cs="宋体"/>
                <w:color w:val="000000"/>
                <w:kern w:val="0"/>
                <w:sz w:val="20"/>
                <w:szCs w:val="20"/>
              </w:rPr>
            </w:pPr>
            <w:r>
              <w:rPr>
                <w:rFonts w:hint="eastAsia" w:ascii="Times New Roman" w:hAnsi="黑体" w:eastAsia="黑体" w:cs="宋体"/>
                <w:kern w:val="0"/>
                <w:sz w:val="24"/>
                <w:szCs w:val="24"/>
              </w:rPr>
              <w:t>协议有效期</w:t>
            </w:r>
          </w:p>
        </w:tc>
      </w:tr>
      <w:tr>
        <w:tblPrEx>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25</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阿帕替尼</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限既往至少接受过</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种系统化疗后进展或复发的晚期胃腺癌或胃</w:t>
            </w:r>
            <w:r>
              <w:rPr>
                <w:rFonts w:hint="eastAsia" w:ascii="Times New Roman" w:hAnsi="Times New Roman" w:cs="宋体"/>
                <w:color w:val="000000"/>
                <w:kern w:val="0"/>
                <w:sz w:val="20"/>
                <w:szCs w:val="20"/>
              </w:rPr>
              <w:t>-</w:t>
            </w:r>
            <w:r>
              <w:rPr>
                <w:rFonts w:hint="eastAsia" w:ascii="Times New Roman" w:hAnsi="宋体" w:cs="宋体"/>
                <w:color w:val="000000"/>
                <w:kern w:val="0"/>
                <w:sz w:val="20"/>
                <w:szCs w:val="20"/>
              </w:rPr>
              <w:t>食管结合部腺癌患者。</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26</w:t>
            </w:r>
          </w:p>
        </w:tc>
        <w:tc>
          <w:tcPr>
            <w:tcW w:w="1276"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呋喹替尼</w:t>
            </w:r>
          </w:p>
        </w:tc>
        <w:tc>
          <w:tcPr>
            <w:tcW w:w="1701"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限转移性结直肠癌患者的三线治疗。</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27</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吡咯替尼</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限表皮生长因子受体</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HER2</w:t>
            </w:r>
            <w:r>
              <w:rPr>
                <w:rFonts w:hint="eastAsia" w:ascii="Times New Roman" w:hAnsi="宋体" w:cs="宋体"/>
                <w:color w:val="000000"/>
                <w:kern w:val="0"/>
                <w:sz w:val="20"/>
                <w:szCs w:val="20"/>
              </w:rPr>
              <w:t>）阳性的复发或转移性乳腺癌患者的二线治疗。</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28</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尼洛替尼</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限治疗新诊断的费城染色体阳性的慢性髓性白血病（</w:t>
            </w:r>
            <w:r>
              <w:rPr>
                <w:rFonts w:hint="eastAsia" w:ascii="Times New Roman" w:hAnsi="Times New Roman" w:cs="宋体"/>
                <w:color w:val="000000"/>
                <w:kern w:val="0"/>
                <w:sz w:val="20"/>
                <w:szCs w:val="20"/>
              </w:rPr>
              <w:t>Ph+ CML</w:t>
            </w:r>
            <w:r>
              <w:rPr>
                <w:rFonts w:hint="eastAsia" w:ascii="Times New Roman" w:hAnsi="宋体" w:cs="宋体"/>
                <w:color w:val="000000"/>
                <w:kern w:val="0"/>
                <w:sz w:val="20"/>
                <w:szCs w:val="20"/>
              </w:rPr>
              <w:t>）慢性期成人患者，或对既往治疗（包括伊马替尼）耐药或不耐受的费城染色体阳性的慢性髓性白血病（</w:t>
            </w:r>
            <w:r>
              <w:rPr>
                <w:rFonts w:hint="eastAsia" w:ascii="Times New Roman" w:hAnsi="Times New Roman" w:cs="宋体"/>
                <w:color w:val="000000"/>
                <w:kern w:val="0"/>
                <w:sz w:val="20"/>
                <w:szCs w:val="20"/>
              </w:rPr>
              <w:t>Ph+ CML</w:t>
            </w:r>
            <w:r>
              <w:rPr>
                <w:rFonts w:hint="eastAsia" w:ascii="Times New Roman" w:hAnsi="宋体" w:cs="宋体"/>
                <w:color w:val="000000"/>
                <w:kern w:val="0"/>
                <w:sz w:val="20"/>
                <w:szCs w:val="20"/>
              </w:rPr>
              <w:t>）慢性期或加速期成人患者。</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9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29</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伊布替尼</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既往至少接受过一种治疗的套细胞淋巴瘤（</w:t>
            </w:r>
            <w:r>
              <w:rPr>
                <w:rFonts w:hint="eastAsia" w:ascii="Times New Roman" w:hAnsi="Times New Roman" w:cs="宋体"/>
                <w:color w:val="000000"/>
                <w:kern w:val="0"/>
                <w:sz w:val="20"/>
                <w:szCs w:val="20"/>
              </w:rPr>
              <w:t>MCL</w:t>
            </w:r>
            <w:r>
              <w:rPr>
                <w:rFonts w:hint="eastAsia" w:ascii="Times New Roman" w:hAnsi="宋体" w:cs="宋体"/>
                <w:color w:val="000000"/>
                <w:kern w:val="0"/>
                <w:sz w:val="20"/>
                <w:szCs w:val="20"/>
              </w:rPr>
              <w:t>）患者的治疗</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慢性淋巴细胞白血病</w:t>
            </w:r>
            <w:r>
              <w:rPr>
                <w:rFonts w:hint="eastAsia" w:ascii="Times New Roman" w:hAnsi="Times New Roman" w:cs="宋体"/>
                <w:color w:val="000000"/>
                <w:kern w:val="0"/>
                <w:sz w:val="20"/>
                <w:szCs w:val="20"/>
              </w:rPr>
              <w:t>/</w:t>
            </w:r>
            <w:r>
              <w:rPr>
                <w:rFonts w:hint="eastAsia" w:ascii="Times New Roman" w:hAnsi="宋体" w:cs="宋体"/>
                <w:color w:val="000000"/>
                <w:kern w:val="0"/>
                <w:sz w:val="20"/>
                <w:szCs w:val="20"/>
              </w:rPr>
              <w:t>小淋巴细胞淋巴瘤（</w:t>
            </w:r>
            <w:r>
              <w:rPr>
                <w:rFonts w:hint="eastAsia" w:ascii="Times New Roman" w:hAnsi="Times New Roman" w:cs="宋体"/>
                <w:color w:val="000000"/>
                <w:kern w:val="0"/>
                <w:sz w:val="20"/>
                <w:szCs w:val="20"/>
              </w:rPr>
              <w:t>CLL/SLL</w:t>
            </w:r>
            <w:r>
              <w:rPr>
                <w:rFonts w:hint="eastAsia" w:ascii="Times New Roman" w:hAnsi="宋体" w:cs="宋体"/>
                <w:color w:val="000000"/>
                <w:kern w:val="0"/>
                <w:sz w:val="20"/>
                <w:szCs w:val="20"/>
              </w:rPr>
              <w:t>）患者的治疗。</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30</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维莫非尼</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治疗经</w:t>
            </w:r>
            <w:r>
              <w:rPr>
                <w:rFonts w:hint="eastAsia" w:ascii="Times New Roman" w:hAnsi="Times New Roman" w:cs="宋体"/>
                <w:color w:val="000000"/>
                <w:kern w:val="0"/>
                <w:sz w:val="20"/>
                <w:szCs w:val="20"/>
              </w:rPr>
              <w:t>CFDA</w:t>
            </w:r>
            <w:r>
              <w:rPr>
                <w:rFonts w:hint="eastAsia" w:ascii="Times New Roman" w:hAnsi="宋体" w:cs="宋体"/>
                <w:color w:val="000000"/>
                <w:kern w:val="0"/>
                <w:sz w:val="20"/>
                <w:szCs w:val="20"/>
              </w:rPr>
              <w:t>批准的检测方法确定的</w:t>
            </w:r>
            <w:r>
              <w:rPr>
                <w:rFonts w:hint="eastAsia" w:ascii="Times New Roman" w:hAnsi="Times New Roman" w:cs="宋体"/>
                <w:color w:val="000000"/>
                <w:kern w:val="0"/>
                <w:sz w:val="20"/>
                <w:szCs w:val="20"/>
              </w:rPr>
              <w:t xml:space="preserve">BRAF V600 </w:t>
            </w:r>
            <w:r>
              <w:rPr>
                <w:rFonts w:hint="eastAsia" w:ascii="Times New Roman" w:hAnsi="宋体" w:cs="宋体"/>
                <w:color w:val="000000"/>
                <w:kern w:val="0"/>
                <w:sz w:val="20"/>
                <w:szCs w:val="20"/>
              </w:rPr>
              <w:t>突变阳性的不可切除或转移性黑色素瘤。</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681"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31</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芦可替尼</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限中危或高危的原发性骨髓纤维化（</w:t>
            </w:r>
            <w:r>
              <w:rPr>
                <w:rFonts w:hint="eastAsia" w:ascii="Times New Roman" w:hAnsi="Times New Roman" w:cs="宋体"/>
                <w:color w:val="000000"/>
                <w:kern w:val="0"/>
                <w:sz w:val="20"/>
                <w:szCs w:val="20"/>
              </w:rPr>
              <w:t>PMF</w:t>
            </w:r>
            <w:r>
              <w:rPr>
                <w:rFonts w:hint="eastAsia" w:ascii="Times New Roman" w:hAnsi="宋体" w:cs="宋体"/>
                <w:color w:val="000000"/>
                <w:kern w:val="0"/>
                <w:sz w:val="20"/>
                <w:szCs w:val="20"/>
              </w:rPr>
              <w:t>）、真性红细胞增多症继发的骨髓纤维化（</w:t>
            </w:r>
            <w:r>
              <w:rPr>
                <w:rFonts w:hint="eastAsia" w:ascii="Times New Roman" w:hAnsi="Times New Roman" w:cs="宋体"/>
                <w:color w:val="000000"/>
                <w:kern w:val="0"/>
                <w:sz w:val="20"/>
                <w:szCs w:val="20"/>
              </w:rPr>
              <w:t>PPV-MF</w:t>
            </w:r>
            <w:r>
              <w:rPr>
                <w:rFonts w:hint="eastAsia" w:ascii="Times New Roman" w:hAnsi="宋体" w:cs="宋体"/>
                <w:color w:val="000000"/>
                <w:kern w:val="0"/>
                <w:sz w:val="20"/>
                <w:szCs w:val="20"/>
              </w:rPr>
              <w:t>）或原发性血小板增多症继发的骨髓纤维化（</w:t>
            </w:r>
            <w:r>
              <w:rPr>
                <w:rFonts w:hint="eastAsia" w:ascii="Times New Roman" w:hAnsi="Times New Roman" w:cs="宋体"/>
                <w:color w:val="000000"/>
                <w:kern w:val="0"/>
                <w:sz w:val="20"/>
                <w:szCs w:val="20"/>
              </w:rPr>
              <w:t>PET-MF</w:t>
            </w:r>
            <w:r>
              <w:rPr>
                <w:rFonts w:hint="eastAsia" w:ascii="Times New Roman" w:hAnsi="宋体" w:cs="宋体"/>
                <w:color w:val="000000"/>
                <w:kern w:val="0"/>
                <w:sz w:val="20"/>
                <w:szCs w:val="20"/>
              </w:rPr>
              <w:t>）的患者。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1170"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32</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伊沙佐米</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每</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个疗程需提供治疗有效的证据后方可继续支付；</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由三级医院血液专科或血液专科医院医师处方；</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与来那度胺联合使用时，只支付伊沙佐米或来那度胺中的一种。</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40" w:lineRule="exact"/>
              <w:jc w:val="center"/>
              <w:rPr>
                <w:rFonts w:hint="eastAsia" w:ascii="Times New Roman" w:hAnsi="Times New Roman" w:cs="宋体"/>
                <w:color w:val="000000"/>
                <w:kern w:val="0"/>
                <w:sz w:val="22"/>
              </w:rPr>
            </w:pPr>
            <w:r>
              <w:rPr>
                <w:rFonts w:hint="eastAsia" w:ascii="Times New Roman" w:hAnsi="黑体" w:eastAsia="黑体"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药品名称</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黑体" w:eastAsia="黑体" w:cs="宋体"/>
                <w:kern w:val="0"/>
                <w:sz w:val="24"/>
                <w:szCs w:val="24"/>
              </w:rPr>
            </w:pPr>
            <w:r>
              <w:rPr>
                <w:rFonts w:hint="eastAsia" w:ascii="Times New Roman" w:hAnsi="黑体" w:eastAsia="黑体" w:cs="宋体"/>
                <w:kern w:val="0"/>
                <w:sz w:val="24"/>
                <w:szCs w:val="24"/>
              </w:rPr>
              <w:t>医保</w:t>
            </w:r>
          </w:p>
          <w:p>
            <w:pPr>
              <w:widowControl/>
              <w:snapToGrid w:val="0"/>
              <w:spacing w:line="340" w:lineRule="exact"/>
              <w:jc w:val="center"/>
              <w:rPr>
                <w:rFonts w:hint="eastAsia" w:ascii="Times New Roman" w:hAnsi="宋体" w:cs="宋体"/>
                <w:kern w:val="0"/>
                <w:sz w:val="20"/>
                <w:szCs w:val="20"/>
              </w:rPr>
            </w:pPr>
            <w:r>
              <w:rPr>
                <w:rFonts w:hint="eastAsia" w:ascii="Times New Roman" w:hAnsi="黑体" w:eastAsia="黑体" w:cs="宋体"/>
                <w:kern w:val="0"/>
                <w:sz w:val="24"/>
                <w:szCs w:val="24"/>
              </w:rPr>
              <w:t>属性</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Times New Roman" w:hAnsi="宋体" w:cs="宋体"/>
                <w:color w:val="000000"/>
                <w:kern w:val="0"/>
                <w:sz w:val="20"/>
                <w:szCs w:val="20"/>
              </w:rPr>
            </w:pPr>
            <w:r>
              <w:rPr>
                <w:rFonts w:hint="eastAsia" w:ascii="Times New Roman" w:hAnsi="黑体" w:eastAsia="黑体" w:cs="宋体"/>
                <w:kern w:val="0"/>
                <w:sz w:val="24"/>
                <w:szCs w:val="24"/>
              </w:rPr>
              <w:t>备注</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cs="宋体"/>
                <w:color w:val="000000"/>
                <w:kern w:val="0"/>
                <w:sz w:val="20"/>
                <w:szCs w:val="20"/>
              </w:rPr>
            </w:pPr>
            <w:r>
              <w:rPr>
                <w:rFonts w:hint="eastAsia" w:ascii="Times New Roman" w:hAnsi="黑体" w:eastAsia="黑体" w:cs="宋体"/>
                <w:kern w:val="0"/>
                <w:sz w:val="24"/>
                <w:szCs w:val="24"/>
              </w:rPr>
              <w:t>协议有效期</w:t>
            </w:r>
          </w:p>
        </w:tc>
      </w:tr>
      <w:tr>
        <w:tblPrEx>
          <w:tblCellMar>
            <w:top w:w="0" w:type="dxa"/>
            <w:left w:w="108" w:type="dxa"/>
            <w:bottom w:w="0" w:type="dxa"/>
            <w:right w:w="108" w:type="dxa"/>
          </w:tblCellMar>
        </w:tblPrEx>
        <w:trPr>
          <w:trHeight w:val="4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33</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培门冬酶</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儿童急性淋巴细胞白血病患者的一线治疗。</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2019</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34</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重组人血管内皮抑制素</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限晚期非小细胞肺癌患者。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35</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西达本胺</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限既往至少接受过</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次全身化疗的复发或难治的外周</w:t>
            </w:r>
            <w:r>
              <w:rPr>
                <w:rFonts w:hint="eastAsia" w:ascii="Times New Roman" w:hAnsi="Times New Roman" w:cs="宋体"/>
                <w:color w:val="000000"/>
                <w:kern w:val="0"/>
                <w:sz w:val="20"/>
                <w:szCs w:val="20"/>
              </w:rPr>
              <w:t>T</w:t>
            </w:r>
            <w:r>
              <w:rPr>
                <w:rFonts w:hint="eastAsia" w:ascii="Times New Roman" w:hAnsi="宋体" w:cs="宋体"/>
                <w:color w:val="000000"/>
                <w:kern w:val="0"/>
                <w:sz w:val="20"/>
                <w:szCs w:val="20"/>
              </w:rPr>
              <w:t>细胞淋巴瘤（</w:t>
            </w:r>
            <w:r>
              <w:rPr>
                <w:rFonts w:hint="eastAsia" w:ascii="Times New Roman" w:hAnsi="Times New Roman" w:cs="宋体"/>
                <w:color w:val="000000"/>
                <w:kern w:val="0"/>
                <w:sz w:val="20"/>
                <w:szCs w:val="20"/>
              </w:rPr>
              <w:t>PTCL</w:t>
            </w:r>
            <w:r>
              <w:rPr>
                <w:rFonts w:hint="eastAsia" w:ascii="Times New Roman" w:hAnsi="宋体" w:cs="宋体"/>
                <w:color w:val="000000"/>
                <w:kern w:val="0"/>
                <w:sz w:val="20"/>
                <w:szCs w:val="20"/>
              </w:rPr>
              <w:t>）患者。</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300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36</w:t>
            </w: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依维莫司</w:t>
            </w:r>
          </w:p>
        </w:tc>
        <w:tc>
          <w:tcPr>
            <w:tcW w:w="1701"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口服常释剂型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限以下情况方可支付：</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接受舒尼替尼或索拉非尼治疗失败的晚期肾细胞癌成人患者。</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不可切除的、局部晚期或转移性的、分化良好的（中度分化或高度分化）进展期胰腺神经内分泌瘤成人患者。</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无法手术切除的、局部晚期或转移性的、分化良好的、进展期非功能性胃肠道或肺源神经内分泌肿瘤患者。</w:t>
            </w:r>
            <w:r>
              <w:rPr>
                <w:rFonts w:hint="eastAsia" w:ascii="Times New Roman" w:hAnsi="Times New Roman" w:cs="宋体"/>
                <w:color w:val="000000"/>
                <w:kern w:val="0"/>
                <w:sz w:val="20"/>
                <w:szCs w:val="20"/>
              </w:rPr>
              <w:t>4.</w:t>
            </w:r>
            <w:r>
              <w:rPr>
                <w:rFonts w:hint="eastAsia" w:ascii="Times New Roman" w:hAnsi="宋体" w:cs="宋体"/>
                <w:color w:val="000000"/>
                <w:kern w:val="0"/>
                <w:sz w:val="20"/>
                <w:szCs w:val="20"/>
              </w:rPr>
              <w:t>不需立即手术治疗的结节性硬化症相关的肾血管平滑肌脂肪瘤（</w:t>
            </w:r>
            <w:r>
              <w:rPr>
                <w:rFonts w:hint="eastAsia" w:ascii="Times New Roman" w:hAnsi="Times New Roman" w:cs="宋体"/>
                <w:color w:val="000000"/>
                <w:kern w:val="0"/>
                <w:sz w:val="20"/>
                <w:szCs w:val="20"/>
              </w:rPr>
              <w:t>TSC-AML)</w:t>
            </w:r>
            <w:r>
              <w:rPr>
                <w:rFonts w:hint="eastAsia" w:ascii="Times New Roman" w:hAnsi="宋体" w:cs="宋体"/>
                <w:color w:val="000000"/>
                <w:kern w:val="0"/>
                <w:sz w:val="20"/>
                <w:szCs w:val="20"/>
              </w:rPr>
              <w:t>成人患者。</w:t>
            </w:r>
            <w:r>
              <w:rPr>
                <w:rFonts w:hint="eastAsia" w:ascii="Times New Roman" w:hAnsi="Times New Roman" w:cs="宋体"/>
                <w:color w:val="000000"/>
                <w:kern w:val="0"/>
                <w:sz w:val="20"/>
                <w:szCs w:val="20"/>
              </w:rPr>
              <w:t>5.</w:t>
            </w:r>
            <w:r>
              <w:rPr>
                <w:rFonts w:hint="eastAsia" w:ascii="Times New Roman" w:hAnsi="宋体" w:cs="宋体"/>
                <w:color w:val="000000"/>
                <w:kern w:val="0"/>
                <w:sz w:val="20"/>
                <w:szCs w:val="20"/>
              </w:rPr>
              <w:t>不能手术的结节性硬化症相关的室管膜下巨细胞星型细胞瘤的患者。</w:t>
            </w:r>
          </w:p>
        </w:tc>
        <w:tc>
          <w:tcPr>
            <w:tcW w:w="3544" w:type="dxa"/>
            <w:tcBorders>
              <w:top w:val="single" w:color="auto" w:sz="4" w:space="0"/>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2235" w:hRule="atLeast"/>
        </w:trPr>
        <w:tc>
          <w:tcPr>
            <w:tcW w:w="675" w:type="dxa"/>
            <w:tcBorders>
              <w:top w:val="nil"/>
              <w:left w:val="single" w:color="auto" w:sz="4" w:space="0"/>
              <w:bottom w:val="single" w:color="auto" w:sz="4" w:space="0"/>
              <w:right w:val="single" w:color="auto" w:sz="4" w:space="0"/>
            </w:tcBorders>
            <w:noWrap/>
            <w:vAlign w:val="center"/>
          </w:tcPr>
          <w:p>
            <w:pPr>
              <w:widowControl/>
              <w:snapToGrid w:val="0"/>
              <w:spacing w:line="36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37</w:t>
            </w:r>
          </w:p>
        </w:tc>
        <w:tc>
          <w:tcPr>
            <w:tcW w:w="1276"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地塞米松</w:t>
            </w:r>
          </w:p>
        </w:tc>
        <w:tc>
          <w:tcPr>
            <w:tcW w:w="1701"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color w:val="000000"/>
                <w:kern w:val="0"/>
                <w:sz w:val="20"/>
                <w:szCs w:val="20"/>
              </w:rPr>
            </w:pPr>
            <w:r>
              <w:rPr>
                <w:rFonts w:hint="eastAsia" w:ascii="Times New Roman" w:hAnsi="宋体" w:cs="宋体"/>
                <w:color w:val="000000"/>
                <w:kern w:val="0"/>
                <w:sz w:val="20"/>
                <w:szCs w:val="20"/>
              </w:rPr>
              <w:t>玻璃体内植入剂</w:t>
            </w:r>
          </w:p>
        </w:tc>
        <w:tc>
          <w:tcPr>
            <w:tcW w:w="1134" w:type="dxa"/>
            <w:tcBorders>
              <w:top w:val="nil"/>
              <w:left w:val="nil"/>
              <w:bottom w:val="single" w:color="auto" w:sz="4" w:space="0"/>
              <w:right w:val="single" w:color="auto" w:sz="4" w:space="0"/>
            </w:tcBorders>
            <w:noWrap w:val="0"/>
            <w:vAlign w:val="center"/>
          </w:tcPr>
          <w:p>
            <w:pPr>
              <w:widowControl/>
              <w:snapToGrid w:val="0"/>
              <w:spacing w:line="360" w:lineRule="exact"/>
              <w:jc w:val="center"/>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widowControl/>
              <w:snapToGrid w:val="0"/>
              <w:spacing w:line="360" w:lineRule="exact"/>
              <w:jc w:val="left"/>
              <w:rPr>
                <w:rFonts w:ascii="Times New Roman" w:hAnsi="Times New Roman" w:cs="宋体"/>
                <w:color w:val="000000"/>
                <w:kern w:val="0"/>
                <w:sz w:val="20"/>
                <w:szCs w:val="20"/>
              </w:rPr>
            </w:pPr>
            <w:r>
              <w:rPr>
                <w:rFonts w:hint="eastAsia" w:ascii="Times New Roman" w:hAnsi="宋体" w:cs="宋体"/>
                <w:color w:val="000000"/>
                <w:kern w:val="0"/>
                <w:sz w:val="20"/>
                <w:szCs w:val="20"/>
              </w:rPr>
              <w:t>限视网膜静脉阻塞（</w:t>
            </w:r>
            <w:r>
              <w:rPr>
                <w:rFonts w:hint="eastAsia" w:ascii="Times New Roman" w:hAnsi="Times New Roman" w:cs="宋体"/>
                <w:color w:val="000000"/>
                <w:kern w:val="0"/>
                <w:sz w:val="20"/>
                <w:szCs w:val="20"/>
              </w:rPr>
              <w:t>RVO</w:t>
            </w:r>
            <w:r>
              <w:rPr>
                <w:rFonts w:hint="eastAsia" w:ascii="Times New Roman" w:hAnsi="宋体" w:cs="宋体"/>
                <w:color w:val="000000"/>
                <w:kern w:val="0"/>
                <w:sz w:val="20"/>
                <w:szCs w:val="20"/>
              </w:rPr>
              <w:t>）的黄斑水肿患者，并应同时符合以下条件：</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需三级综合医院眼科或二级及以上眼科专科医院医师处方；</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首次处方时病眼基线矫正视力</w:t>
            </w:r>
            <w:r>
              <w:rPr>
                <w:rFonts w:hint="eastAsia" w:ascii="Times New Roman" w:hAnsi="Times New Roman" w:cs="宋体"/>
                <w:color w:val="000000"/>
                <w:kern w:val="0"/>
                <w:sz w:val="20"/>
                <w:szCs w:val="20"/>
              </w:rPr>
              <w:t>0.05-0.5</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事前审查后方可用，初次申请需有血管造影或</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（全身情况不允许的患者可以提供</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血管成像）证据；</w:t>
            </w:r>
            <w:r>
              <w:rPr>
                <w:rFonts w:hint="eastAsia" w:ascii="Times New Roman" w:hAnsi="Times New Roman" w:cs="宋体"/>
                <w:color w:val="000000"/>
                <w:kern w:val="0"/>
                <w:sz w:val="20"/>
                <w:szCs w:val="20"/>
              </w:rPr>
              <w:t>4.</w:t>
            </w:r>
            <w:r>
              <w:rPr>
                <w:rFonts w:hint="eastAsia" w:ascii="Times New Roman" w:hAnsi="宋体" w:cs="宋体"/>
                <w:color w:val="000000"/>
                <w:kern w:val="0"/>
                <w:sz w:val="20"/>
                <w:szCs w:val="20"/>
              </w:rPr>
              <w:t>每眼累计最多支付</w:t>
            </w:r>
            <w:r>
              <w:rPr>
                <w:rFonts w:hint="eastAsia" w:ascii="Times New Roman" w:hAnsi="Times New Roman" w:cs="宋体"/>
                <w:color w:val="000000"/>
                <w:kern w:val="0"/>
                <w:sz w:val="20"/>
                <w:szCs w:val="20"/>
              </w:rPr>
              <w:t>5</w:t>
            </w:r>
            <w:r>
              <w:rPr>
                <w:rFonts w:hint="eastAsia" w:ascii="Times New Roman" w:hAnsi="宋体" w:cs="宋体"/>
                <w:color w:val="000000"/>
                <w:kern w:val="0"/>
                <w:sz w:val="20"/>
                <w:szCs w:val="20"/>
              </w:rPr>
              <w:t>支，每个年度最多支付</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支。</w:t>
            </w:r>
          </w:p>
        </w:tc>
        <w:tc>
          <w:tcPr>
            <w:tcW w:w="3544" w:type="dxa"/>
            <w:tcBorders>
              <w:top w:val="nil"/>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7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Times New Roman" w:cs="宋体"/>
                <w:color w:val="000000"/>
                <w:kern w:val="0"/>
                <w:sz w:val="22"/>
              </w:rPr>
            </w:pPr>
            <w:r>
              <w:rPr>
                <w:rFonts w:hint="eastAsia" w:ascii="Times New Roman" w:hAnsi="黑体" w:eastAsia="黑体"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宋体" w:cs="宋体"/>
                <w:color w:val="000000"/>
                <w:kern w:val="0"/>
                <w:sz w:val="20"/>
                <w:szCs w:val="20"/>
              </w:rPr>
            </w:pPr>
            <w:r>
              <w:rPr>
                <w:rFonts w:hint="eastAsia" w:ascii="Times New Roman" w:hAnsi="黑体" w:eastAsia="黑体" w:cs="宋体"/>
                <w:kern w:val="0"/>
                <w:sz w:val="24"/>
                <w:szCs w:val="24"/>
              </w:rPr>
              <w:t>药品名称</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宋体" w:cs="宋体"/>
                <w:color w:val="000000"/>
                <w:kern w:val="0"/>
                <w:sz w:val="20"/>
                <w:szCs w:val="20"/>
              </w:rPr>
            </w:pPr>
            <w:r>
              <w:rPr>
                <w:rFonts w:hint="eastAsia" w:ascii="Times New Roman" w:hAnsi="黑体" w:eastAsia="黑体" w:cs="宋体"/>
                <w:kern w:val="0"/>
                <w:sz w:val="24"/>
                <w:szCs w:val="24"/>
              </w:rPr>
              <w:t>剂型</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黑体" w:eastAsia="黑体" w:cs="宋体"/>
                <w:kern w:val="0"/>
                <w:sz w:val="24"/>
                <w:szCs w:val="24"/>
              </w:rPr>
            </w:pPr>
            <w:r>
              <w:rPr>
                <w:rFonts w:hint="eastAsia" w:ascii="Times New Roman" w:hAnsi="黑体" w:eastAsia="黑体" w:cs="宋体"/>
                <w:kern w:val="0"/>
                <w:sz w:val="24"/>
                <w:szCs w:val="24"/>
              </w:rPr>
              <w:t>医保</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宋体" w:cs="宋体"/>
                <w:kern w:val="0"/>
                <w:sz w:val="20"/>
                <w:szCs w:val="20"/>
              </w:rPr>
            </w:pPr>
            <w:r>
              <w:rPr>
                <w:rFonts w:hint="eastAsia" w:ascii="Times New Roman" w:hAnsi="黑体" w:eastAsia="黑体" w:cs="宋体"/>
                <w:kern w:val="0"/>
                <w:sz w:val="24"/>
                <w:szCs w:val="24"/>
              </w:rPr>
              <w:t>属性</w:t>
            </w:r>
          </w:p>
        </w:tc>
        <w:tc>
          <w:tcPr>
            <w:tcW w:w="56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宋体" w:cs="宋体"/>
                <w:color w:val="000000"/>
                <w:kern w:val="0"/>
                <w:sz w:val="20"/>
                <w:szCs w:val="20"/>
              </w:rPr>
            </w:pPr>
            <w:r>
              <w:rPr>
                <w:rFonts w:hint="eastAsia" w:ascii="Times New Roman" w:hAnsi="黑体" w:eastAsia="黑体" w:cs="宋体"/>
                <w:kern w:val="0"/>
                <w:sz w:val="24"/>
                <w:szCs w:val="24"/>
              </w:rPr>
              <w:t>备注</w:t>
            </w:r>
          </w:p>
        </w:tc>
        <w:tc>
          <w:tcPr>
            <w:tcW w:w="3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hint="eastAsia" w:ascii="Times New Roman" w:hAnsi="Times New Roman" w:cs="宋体"/>
                <w:color w:val="000000"/>
                <w:kern w:val="0"/>
                <w:sz w:val="20"/>
                <w:szCs w:val="20"/>
              </w:rPr>
            </w:pPr>
            <w:r>
              <w:rPr>
                <w:rFonts w:hint="eastAsia" w:ascii="Times New Roman" w:hAnsi="黑体" w:eastAsia="黑体" w:cs="宋体"/>
                <w:kern w:val="0"/>
                <w:sz w:val="24"/>
                <w:szCs w:val="24"/>
              </w:rPr>
              <w:t>协议有效期</w:t>
            </w:r>
          </w:p>
        </w:tc>
      </w:tr>
      <w:tr>
        <w:tblPrEx>
          <w:tblCellMar>
            <w:top w:w="0" w:type="dxa"/>
            <w:left w:w="108" w:type="dxa"/>
            <w:bottom w:w="0" w:type="dxa"/>
            <w:right w:w="108" w:type="dxa"/>
          </w:tblCellMar>
        </w:tblPrEx>
        <w:trPr>
          <w:trHeight w:val="2947"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2"/>
              </w:rPr>
            </w:pPr>
            <w:r>
              <w:rPr>
                <w:rFonts w:hint="eastAsia" w:ascii="Times New Roman" w:hAnsi="Times New Roman" w:cs="宋体"/>
                <w:color w:val="000000"/>
                <w:kern w:val="0"/>
                <w:sz w:val="22"/>
              </w:rPr>
              <w:t>38</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康柏西普</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眼用注射液</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限以下疾病：</w:t>
            </w:r>
            <w:r>
              <w:rPr>
                <w:rFonts w:hint="eastAsia" w:ascii="Times New Roman" w:hAnsi="Times New Roman" w:cs="宋体"/>
                <w:color w:val="000000"/>
                <w:kern w:val="0"/>
                <w:sz w:val="20"/>
                <w:szCs w:val="20"/>
              </w:rPr>
              <w:t>1.50</w:t>
            </w:r>
            <w:r>
              <w:rPr>
                <w:rFonts w:hint="eastAsia" w:ascii="Times New Roman" w:hAnsi="宋体" w:cs="宋体"/>
                <w:color w:val="000000"/>
                <w:kern w:val="0"/>
                <w:sz w:val="20"/>
                <w:szCs w:val="20"/>
              </w:rPr>
              <w:t>岁以上的湿性年龄相关性黄斑变性（</w:t>
            </w:r>
            <w:r>
              <w:rPr>
                <w:rFonts w:hint="eastAsia" w:ascii="Times New Roman" w:hAnsi="Times New Roman" w:cs="宋体"/>
                <w:color w:val="000000"/>
                <w:kern w:val="0"/>
                <w:sz w:val="20"/>
                <w:szCs w:val="20"/>
              </w:rPr>
              <w:t>AMD</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糖尿病性黄斑水肿（</w:t>
            </w:r>
            <w:r>
              <w:rPr>
                <w:rFonts w:hint="eastAsia" w:ascii="Times New Roman" w:hAnsi="Times New Roman" w:cs="宋体"/>
                <w:color w:val="000000"/>
                <w:kern w:val="0"/>
                <w:sz w:val="20"/>
                <w:szCs w:val="20"/>
              </w:rPr>
              <w:t>DME</w:t>
            </w:r>
            <w:r>
              <w:rPr>
                <w:rFonts w:hint="eastAsia" w:ascii="Times New Roman" w:hAnsi="宋体" w:cs="宋体"/>
                <w:color w:val="000000"/>
                <w:kern w:val="0"/>
                <w:sz w:val="20"/>
                <w:szCs w:val="20"/>
              </w:rPr>
              <w:t>）引起的视力损害；</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脉络膜新生血管（</w:t>
            </w:r>
            <w:r>
              <w:rPr>
                <w:rFonts w:hint="eastAsia" w:ascii="Times New Roman" w:hAnsi="Times New Roman" w:cs="宋体"/>
                <w:color w:val="000000"/>
                <w:kern w:val="0"/>
                <w:sz w:val="20"/>
                <w:szCs w:val="20"/>
              </w:rPr>
              <w:t>CNV</w:t>
            </w:r>
            <w:r>
              <w:rPr>
                <w:rFonts w:hint="eastAsia" w:ascii="Times New Roman" w:hAnsi="宋体" w:cs="宋体"/>
                <w:color w:val="000000"/>
                <w:kern w:val="0"/>
                <w:sz w:val="20"/>
                <w:szCs w:val="20"/>
              </w:rPr>
              <w:t>）导致的视力损害。应同时符合以下条件：</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需三级综合医院眼科或二级及以上眼科专科医院医师处方；</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首次处方时病眼基线矫正视力</w:t>
            </w:r>
            <w:r>
              <w:rPr>
                <w:rFonts w:hint="eastAsia" w:ascii="Times New Roman" w:hAnsi="Times New Roman" w:cs="宋体"/>
                <w:color w:val="000000"/>
                <w:kern w:val="0"/>
                <w:sz w:val="20"/>
                <w:szCs w:val="20"/>
              </w:rPr>
              <w:t>0.05-0.5</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事前审查后方可用，初次申请需有血管造影或</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（全身情况不允许的患者可以提供</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血管成像）证据；</w:t>
            </w:r>
            <w:r>
              <w:rPr>
                <w:rFonts w:hint="eastAsia" w:ascii="Times New Roman" w:hAnsi="Times New Roman" w:cs="宋体"/>
                <w:color w:val="000000"/>
                <w:kern w:val="0"/>
                <w:sz w:val="20"/>
                <w:szCs w:val="20"/>
              </w:rPr>
              <w:t>4.</w:t>
            </w:r>
            <w:r>
              <w:rPr>
                <w:rFonts w:hint="eastAsia" w:ascii="Times New Roman" w:hAnsi="宋体" w:cs="宋体"/>
                <w:color w:val="000000"/>
                <w:kern w:val="0"/>
                <w:sz w:val="20"/>
                <w:szCs w:val="20"/>
              </w:rPr>
              <w:t>每眼累计最多支付</w:t>
            </w:r>
            <w:r>
              <w:rPr>
                <w:rFonts w:hint="eastAsia" w:ascii="Times New Roman" w:hAnsi="Times New Roman" w:cs="宋体"/>
                <w:color w:val="000000"/>
                <w:kern w:val="0"/>
                <w:sz w:val="20"/>
                <w:szCs w:val="20"/>
              </w:rPr>
              <w:t>9</w:t>
            </w:r>
            <w:r>
              <w:rPr>
                <w:rFonts w:hint="eastAsia" w:ascii="Times New Roman" w:hAnsi="宋体" w:cs="宋体"/>
                <w:color w:val="000000"/>
                <w:kern w:val="0"/>
                <w:sz w:val="20"/>
                <w:szCs w:val="20"/>
              </w:rPr>
              <w:t>支，第</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年度最多支付</w:t>
            </w:r>
            <w:r>
              <w:rPr>
                <w:rFonts w:hint="eastAsia" w:ascii="Times New Roman" w:hAnsi="Times New Roman" w:cs="宋体"/>
                <w:color w:val="000000"/>
                <w:kern w:val="0"/>
                <w:sz w:val="20"/>
                <w:szCs w:val="20"/>
              </w:rPr>
              <w:t>5</w:t>
            </w:r>
            <w:r>
              <w:rPr>
                <w:rFonts w:hint="eastAsia" w:ascii="Times New Roman" w:hAnsi="宋体" w:cs="宋体"/>
                <w:color w:val="000000"/>
                <w:kern w:val="0"/>
                <w:sz w:val="20"/>
                <w:szCs w:val="20"/>
              </w:rPr>
              <w:t>支。阿柏西普、雷珠单抗和康柏西普的药品支数合并计算。</w:t>
            </w:r>
          </w:p>
        </w:tc>
        <w:tc>
          <w:tcPr>
            <w:tcW w:w="3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1834"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2"/>
              </w:rPr>
            </w:pPr>
            <w:r>
              <w:rPr>
                <w:rFonts w:hint="eastAsia" w:ascii="Times New Roman" w:hAnsi="Times New Roman" w:cs="宋体"/>
                <w:color w:val="000000"/>
                <w:kern w:val="0"/>
                <w:sz w:val="22"/>
              </w:rPr>
              <w:t>39</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阿柏西普</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眼内注射溶液</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限以下疾病：</w:t>
            </w:r>
            <w:r>
              <w:rPr>
                <w:rFonts w:hint="eastAsia" w:ascii="Times New Roman" w:hAnsi="Times New Roman" w:cs="宋体"/>
                <w:color w:val="000000"/>
                <w:kern w:val="0"/>
                <w:sz w:val="20"/>
                <w:szCs w:val="20"/>
              </w:rPr>
              <w:t>1.50</w:t>
            </w:r>
            <w:r>
              <w:rPr>
                <w:rFonts w:hint="eastAsia" w:ascii="Times New Roman" w:hAnsi="宋体" w:cs="宋体"/>
                <w:color w:val="000000"/>
                <w:kern w:val="0"/>
                <w:sz w:val="20"/>
                <w:szCs w:val="20"/>
              </w:rPr>
              <w:t>岁以上的湿性年龄相关性黄斑变性（</w:t>
            </w:r>
            <w:r>
              <w:rPr>
                <w:rFonts w:hint="eastAsia" w:ascii="Times New Roman" w:hAnsi="Times New Roman" w:cs="宋体"/>
                <w:color w:val="000000"/>
                <w:kern w:val="0"/>
                <w:sz w:val="20"/>
                <w:szCs w:val="20"/>
              </w:rPr>
              <w:t>AMD</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糖尿病性黄斑水肿（</w:t>
            </w:r>
            <w:r>
              <w:rPr>
                <w:rFonts w:hint="eastAsia" w:ascii="Times New Roman" w:hAnsi="Times New Roman" w:cs="宋体"/>
                <w:color w:val="000000"/>
                <w:kern w:val="0"/>
                <w:sz w:val="20"/>
                <w:szCs w:val="20"/>
              </w:rPr>
              <w:t>DME</w:t>
            </w:r>
            <w:r>
              <w:rPr>
                <w:rFonts w:hint="eastAsia" w:ascii="Times New Roman" w:hAnsi="宋体" w:cs="宋体"/>
                <w:color w:val="000000"/>
                <w:kern w:val="0"/>
                <w:sz w:val="20"/>
                <w:szCs w:val="20"/>
              </w:rPr>
              <w:t>）引起的视力损害。应同时符合以下条件：</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需三级综合医院眼科或二级及以上眼科专科医院医师处方；</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首次处方时病眼基线矫正视力</w:t>
            </w:r>
            <w:r>
              <w:rPr>
                <w:rFonts w:hint="eastAsia" w:ascii="Times New Roman" w:hAnsi="Times New Roman" w:cs="宋体"/>
                <w:color w:val="000000"/>
                <w:kern w:val="0"/>
                <w:sz w:val="20"/>
                <w:szCs w:val="20"/>
              </w:rPr>
              <w:t>0.05-0.5</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事前审查后方可用，初次申请需有血管造影或</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（全身情况不允许的患者可以提供</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血管成像）证据；</w:t>
            </w:r>
            <w:r>
              <w:rPr>
                <w:rFonts w:hint="eastAsia" w:ascii="Times New Roman" w:hAnsi="Times New Roman" w:cs="宋体"/>
                <w:color w:val="000000"/>
                <w:kern w:val="0"/>
                <w:sz w:val="20"/>
                <w:szCs w:val="20"/>
              </w:rPr>
              <w:t>4.</w:t>
            </w:r>
            <w:r>
              <w:rPr>
                <w:rFonts w:hint="eastAsia" w:ascii="Times New Roman" w:hAnsi="宋体" w:cs="宋体"/>
                <w:color w:val="000000"/>
                <w:kern w:val="0"/>
                <w:sz w:val="20"/>
                <w:szCs w:val="20"/>
              </w:rPr>
              <w:t>每眼累计最多支付</w:t>
            </w:r>
            <w:r>
              <w:rPr>
                <w:rFonts w:hint="eastAsia" w:ascii="Times New Roman" w:hAnsi="Times New Roman" w:cs="宋体"/>
                <w:color w:val="000000"/>
                <w:kern w:val="0"/>
                <w:sz w:val="20"/>
                <w:szCs w:val="20"/>
              </w:rPr>
              <w:t>9</w:t>
            </w:r>
            <w:r>
              <w:rPr>
                <w:rFonts w:hint="eastAsia" w:ascii="Times New Roman" w:hAnsi="宋体" w:cs="宋体"/>
                <w:color w:val="000000"/>
                <w:kern w:val="0"/>
                <w:sz w:val="20"/>
                <w:szCs w:val="20"/>
              </w:rPr>
              <w:t>支，第</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年度最多支付</w:t>
            </w:r>
            <w:r>
              <w:rPr>
                <w:rFonts w:hint="eastAsia" w:ascii="Times New Roman" w:hAnsi="Times New Roman" w:cs="宋体"/>
                <w:color w:val="000000"/>
                <w:kern w:val="0"/>
                <w:sz w:val="20"/>
                <w:szCs w:val="20"/>
              </w:rPr>
              <w:t>5</w:t>
            </w:r>
            <w:r>
              <w:rPr>
                <w:rFonts w:hint="eastAsia" w:ascii="Times New Roman" w:hAnsi="宋体" w:cs="宋体"/>
                <w:color w:val="000000"/>
                <w:kern w:val="0"/>
                <w:sz w:val="20"/>
                <w:szCs w:val="20"/>
              </w:rPr>
              <w:t>支。阿柏西普、雷珠单抗和康柏西普的药品支数合并计算。</w:t>
            </w:r>
          </w:p>
        </w:tc>
        <w:tc>
          <w:tcPr>
            <w:tcW w:w="3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r>
        <w:tblPrEx>
          <w:tblCellMar>
            <w:top w:w="0" w:type="dxa"/>
            <w:left w:w="108" w:type="dxa"/>
            <w:bottom w:w="0" w:type="dxa"/>
            <w:right w:w="108" w:type="dxa"/>
          </w:tblCellMar>
        </w:tblPrEx>
        <w:trPr>
          <w:trHeight w:val="499" w:hRule="atLeast"/>
        </w:trPr>
        <w:tc>
          <w:tcPr>
            <w:tcW w:w="6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2"/>
              </w:rPr>
            </w:pPr>
            <w:r>
              <w:rPr>
                <w:rFonts w:hint="eastAsia" w:ascii="Times New Roman" w:hAnsi="Times New Roman" w:cs="宋体"/>
                <w:color w:val="000000"/>
                <w:kern w:val="0"/>
                <w:sz w:val="22"/>
              </w:rPr>
              <w:t>40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雷珠单抗</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注射剂</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kern w:val="0"/>
                <w:sz w:val="20"/>
                <w:szCs w:val="20"/>
              </w:rPr>
            </w:pPr>
            <w:r>
              <w:rPr>
                <w:rFonts w:hint="eastAsia" w:ascii="Times New Roman" w:hAnsi="宋体" w:cs="宋体"/>
                <w:kern w:val="0"/>
                <w:sz w:val="20"/>
                <w:szCs w:val="20"/>
              </w:rPr>
              <w:t>乙类</w:t>
            </w:r>
          </w:p>
        </w:tc>
        <w:tc>
          <w:tcPr>
            <w:tcW w:w="5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outlineLvl w:val="9"/>
              <w:rPr>
                <w:rFonts w:ascii="Times New Roman" w:hAnsi="Times New Roman" w:cs="宋体"/>
                <w:color w:val="000000"/>
                <w:kern w:val="0"/>
                <w:sz w:val="20"/>
                <w:szCs w:val="20"/>
              </w:rPr>
            </w:pPr>
            <w:r>
              <w:rPr>
                <w:rFonts w:hint="eastAsia" w:ascii="Times New Roman" w:hAnsi="宋体" w:cs="宋体"/>
                <w:color w:val="000000"/>
                <w:kern w:val="0"/>
                <w:sz w:val="20"/>
                <w:szCs w:val="20"/>
              </w:rPr>
              <w:t>限以下疾病：</w:t>
            </w:r>
            <w:r>
              <w:rPr>
                <w:rFonts w:hint="eastAsia" w:ascii="Times New Roman" w:hAnsi="Times New Roman" w:cs="宋体"/>
                <w:color w:val="000000"/>
                <w:kern w:val="0"/>
                <w:sz w:val="20"/>
                <w:szCs w:val="20"/>
              </w:rPr>
              <w:t>1.50</w:t>
            </w:r>
            <w:r>
              <w:rPr>
                <w:rFonts w:hint="eastAsia" w:ascii="Times New Roman" w:hAnsi="宋体" w:cs="宋体"/>
                <w:color w:val="000000"/>
                <w:kern w:val="0"/>
                <w:sz w:val="20"/>
                <w:szCs w:val="20"/>
              </w:rPr>
              <w:t>岁以上的湿性年龄相关性黄斑变性（</w:t>
            </w:r>
            <w:r>
              <w:rPr>
                <w:rFonts w:hint="eastAsia" w:ascii="Times New Roman" w:hAnsi="Times New Roman" w:cs="宋体"/>
                <w:color w:val="000000"/>
                <w:kern w:val="0"/>
                <w:sz w:val="20"/>
                <w:szCs w:val="20"/>
              </w:rPr>
              <w:t>AMD</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糖尿病性黄斑水肿（</w:t>
            </w:r>
            <w:r>
              <w:rPr>
                <w:rFonts w:hint="eastAsia" w:ascii="Times New Roman" w:hAnsi="Times New Roman" w:cs="宋体"/>
                <w:color w:val="000000"/>
                <w:kern w:val="0"/>
                <w:sz w:val="20"/>
                <w:szCs w:val="20"/>
              </w:rPr>
              <w:t>DME</w:t>
            </w:r>
            <w:r>
              <w:rPr>
                <w:rFonts w:hint="eastAsia" w:ascii="Times New Roman" w:hAnsi="宋体" w:cs="宋体"/>
                <w:color w:val="000000"/>
                <w:kern w:val="0"/>
                <w:sz w:val="20"/>
                <w:szCs w:val="20"/>
              </w:rPr>
              <w:t>）引起的视力损害；</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脉络膜新生血管（</w:t>
            </w:r>
            <w:r>
              <w:rPr>
                <w:rFonts w:hint="eastAsia" w:ascii="Times New Roman" w:hAnsi="Times New Roman" w:cs="宋体"/>
                <w:color w:val="000000"/>
                <w:kern w:val="0"/>
                <w:sz w:val="20"/>
                <w:szCs w:val="20"/>
              </w:rPr>
              <w:t>CNV</w:t>
            </w:r>
            <w:r>
              <w:rPr>
                <w:rFonts w:hint="eastAsia" w:ascii="Times New Roman" w:hAnsi="宋体" w:cs="宋体"/>
                <w:color w:val="000000"/>
                <w:kern w:val="0"/>
                <w:sz w:val="20"/>
                <w:szCs w:val="20"/>
              </w:rPr>
              <w:t>）导致的视力损害；</w:t>
            </w:r>
            <w:r>
              <w:rPr>
                <w:rFonts w:hint="eastAsia" w:ascii="Times New Roman" w:hAnsi="Times New Roman" w:cs="宋体"/>
                <w:color w:val="000000"/>
                <w:kern w:val="0"/>
                <w:sz w:val="20"/>
                <w:szCs w:val="20"/>
              </w:rPr>
              <w:t>4.</w:t>
            </w:r>
            <w:r>
              <w:rPr>
                <w:rFonts w:hint="eastAsia" w:ascii="Times New Roman" w:hAnsi="宋体" w:cs="宋体"/>
                <w:color w:val="000000"/>
                <w:kern w:val="0"/>
                <w:sz w:val="20"/>
                <w:szCs w:val="20"/>
              </w:rPr>
              <w:t>继发于视网膜静脉阻塞（</w:t>
            </w:r>
            <w:r>
              <w:rPr>
                <w:rFonts w:hint="eastAsia" w:ascii="Times New Roman" w:hAnsi="Times New Roman" w:cs="宋体"/>
                <w:color w:val="000000"/>
                <w:kern w:val="0"/>
                <w:sz w:val="20"/>
                <w:szCs w:val="20"/>
              </w:rPr>
              <w:t>RVO</w:t>
            </w:r>
            <w:r>
              <w:rPr>
                <w:rFonts w:hint="eastAsia" w:ascii="Times New Roman" w:hAnsi="宋体" w:cs="宋体"/>
                <w:color w:val="000000"/>
                <w:kern w:val="0"/>
                <w:sz w:val="20"/>
                <w:szCs w:val="20"/>
              </w:rPr>
              <w:t>）的黄斑水肿引起的视力损害。应同时符合以下条件：</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需三级综合医院眼科或二级及以上眼科专科医院医师处方；</w:t>
            </w:r>
            <w:r>
              <w:rPr>
                <w:rFonts w:hint="eastAsia" w:ascii="Times New Roman" w:hAnsi="Times New Roman" w:cs="宋体"/>
                <w:color w:val="000000"/>
                <w:kern w:val="0"/>
                <w:sz w:val="20"/>
                <w:szCs w:val="20"/>
              </w:rPr>
              <w:t>2.</w:t>
            </w:r>
            <w:r>
              <w:rPr>
                <w:rFonts w:hint="eastAsia" w:ascii="Times New Roman" w:hAnsi="宋体" w:cs="宋体"/>
                <w:color w:val="000000"/>
                <w:kern w:val="0"/>
                <w:sz w:val="20"/>
                <w:szCs w:val="20"/>
              </w:rPr>
              <w:t>首次处方时病眼基线矫正视力</w:t>
            </w:r>
            <w:r>
              <w:rPr>
                <w:rFonts w:hint="eastAsia" w:ascii="Times New Roman" w:hAnsi="Times New Roman" w:cs="宋体"/>
                <w:color w:val="000000"/>
                <w:kern w:val="0"/>
                <w:sz w:val="20"/>
                <w:szCs w:val="20"/>
              </w:rPr>
              <w:t>0.05-0.5</w:t>
            </w:r>
            <w:r>
              <w:rPr>
                <w:rFonts w:hint="eastAsia" w:ascii="Times New Roman" w:hAnsi="宋体" w:cs="宋体"/>
                <w:color w:val="000000"/>
                <w:kern w:val="0"/>
                <w:sz w:val="20"/>
                <w:szCs w:val="20"/>
              </w:rPr>
              <w:t>；</w:t>
            </w:r>
            <w:r>
              <w:rPr>
                <w:rFonts w:hint="eastAsia" w:ascii="Times New Roman" w:hAnsi="Times New Roman" w:cs="宋体"/>
                <w:color w:val="000000"/>
                <w:kern w:val="0"/>
                <w:sz w:val="20"/>
                <w:szCs w:val="20"/>
              </w:rPr>
              <w:t>3.</w:t>
            </w:r>
            <w:r>
              <w:rPr>
                <w:rFonts w:hint="eastAsia" w:ascii="Times New Roman" w:hAnsi="宋体" w:cs="宋体"/>
                <w:color w:val="000000"/>
                <w:kern w:val="0"/>
                <w:sz w:val="20"/>
                <w:szCs w:val="20"/>
              </w:rPr>
              <w:t>事前审查后方可用，初次申请需有血管造影或</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（全身情况不允许的患者可以提供</w:t>
            </w:r>
            <w:r>
              <w:rPr>
                <w:rFonts w:hint="eastAsia" w:ascii="Times New Roman" w:hAnsi="Times New Roman" w:cs="宋体"/>
                <w:color w:val="000000"/>
                <w:kern w:val="0"/>
                <w:sz w:val="20"/>
                <w:szCs w:val="20"/>
              </w:rPr>
              <w:t>OCT</w:t>
            </w:r>
            <w:r>
              <w:rPr>
                <w:rFonts w:hint="eastAsia" w:ascii="Times New Roman" w:hAnsi="宋体" w:cs="宋体"/>
                <w:color w:val="000000"/>
                <w:kern w:val="0"/>
                <w:sz w:val="20"/>
                <w:szCs w:val="20"/>
              </w:rPr>
              <w:t>血管成像）证据；</w:t>
            </w:r>
            <w:r>
              <w:rPr>
                <w:rFonts w:hint="eastAsia" w:ascii="Times New Roman" w:hAnsi="Times New Roman" w:cs="宋体"/>
                <w:color w:val="000000"/>
                <w:kern w:val="0"/>
                <w:sz w:val="20"/>
                <w:szCs w:val="20"/>
              </w:rPr>
              <w:t>4.</w:t>
            </w:r>
            <w:r>
              <w:rPr>
                <w:rFonts w:hint="eastAsia" w:ascii="Times New Roman" w:hAnsi="宋体" w:cs="宋体"/>
                <w:color w:val="000000"/>
                <w:kern w:val="0"/>
                <w:sz w:val="20"/>
                <w:szCs w:val="20"/>
              </w:rPr>
              <w:t>每眼累计最多支付</w:t>
            </w:r>
            <w:r>
              <w:rPr>
                <w:rFonts w:hint="eastAsia" w:ascii="Times New Roman" w:hAnsi="Times New Roman" w:cs="宋体"/>
                <w:color w:val="000000"/>
                <w:kern w:val="0"/>
                <w:sz w:val="20"/>
                <w:szCs w:val="20"/>
              </w:rPr>
              <w:t>9</w:t>
            </w:r>
            <w:r>
              <w:rPr>
                <w:rFonts w:hint="eastAsia" w:ascii="Times New Roman" w:hAnsi="宋体" w:cs="宋体"/>
                <w:color w:val="000000"/>
                <w:kern w:val="0"/>
                <w:sz w:val="20"/>
                <w:szCs w:val="20"/>
              </w:rPr>
              <w:t>支，第</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年度最多支付</w:t>
            </w:r>
            <w:r>
              <w:rPr>
                <w:rFonts w:hint="eastAsia" w:ascii="Times New Roman" w:hAnsi="Times New Roman" w:cs="宋体"/>
                <w:color w:val="000000"/>
                <w:kern w:val="0"/>
                <w:sz w:val="20"/>
                <w:szCs w:val="20"/>
              </w:rPr>
              <w:t>5</w:t>
            </w:r>
            <w:r>
              <w:rPr>
                <w:rFonts w:hint="eastAsia" w:ascii="Times New Roman" w:hAnsi="宋体" w:cs="宋体"/>
                <w:color w:val="000000"/>
                <w:kern w:val="0"/>
                <w:sz w:val="20"/>
                <w:szCs w:val="20"/>
              </w:rPr>
              <w:t>支。阿柏西普、雷珠单抗和康柏西普的药品支数合并计算。</w:t>
            </w:r>
          </w:p>
        </w:tc>
        <w:tc>
          <w:tcPr>
            <w:tcW w:w="35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outlineLvl w:val="9"/>
              <w:rPr>
                <w:rFonts w:ascii="Times New Roman" w:hAnsi="Times New Roman" w:cs="宋体"/>
                <w:color w:val="000000"/>
                <w:kern w:val="0"/>
                <w:sz w:val="20"/>
                <w:szCs w:val="20"/>
              </w:rPr>
            </w:pPr>
            <w:r>
              <w:rPr>
                <w:rFonts w:hint="eastAsia" w:ascii="Times New Roman" w:hAnsi="Times New Roman" w:cs="宋体"/>
                <w:color w:val="000000"/>
                <w:kern w:val="0"/>
                <w:sz w:val="20"/>
                <w:szCs w:val="20"/>
              </w:rPr>
              <w:t>2020</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1</w:t>
            </w:r>
            <w:r>
              <w:rPr>
                <w:rFonts w:hint="eastAsia" w:ascii="Times New Roman" w:hAnsi="宋体" w:cs="宋体"/>
                <w:color w:val="000000"/>
                <w:kern w:val="0"/>
                <w:sz w:val="20"/>
                <w:szCs w:val="20"/>
              </w:rPr>
              <w:t>日至</w:t>
            </w:r>
            <w:r>
              <w:rPr>
                <w:rFonts w:hint="eastAsia" w:ascii="Times New Roman" w:hAnsi="Times New Roman" w:cs="宋体"/>
                <w:color w:val="000000"/>
                <w:kern w:val="0"/>
                <w:sz w:val="20"/>
                <w:szCs w:val="20"/>
              </w:rPr>
              <w:t>2021</w:t>
            </w:r>
            <w:r>
              <w:rPr>
                <w:rFonts w:hint="eastAsia" w:ascii="Times New Roman" w:hAnsi="宋体" w:cs="宋体"/>
                <w:color w:val="000000"/>
                <w:kern w:val="0"/>
                <w:sz w:val="20"/>
                <w:szCs w:val="20"/>
              </w:rPr>
              <w:t>年</w:t>
            </w:r>
            <w:r>
              <w:rPr>
                <w:rFonts w:hint="eastAsia" w:ascii="Times New Roman" w:hAnsi="Times New Roman" w:cs="宋体"/>
                <w:color w:val="000000"/>
                <w:kern w:val="0"/>
                <w:sz w:val="20"/>
                <w:szCs w:val="20"/>
              </w:rPr>
              <w:t>12</w:t>
            </w:r>
            <w:r>
              <w:rPr>
                <w:rFonts w:hint="eastAsia" w:ascii="Times New Roman" w:hAnsi="宋体" w:cs="宋体"/>
                <w:color w:val="000000"/>
                <w:kern w:val="0"/>
                <w:sz w:val="20"/>
                <w:szCs w:val="20"/>
              </w:rPr>
              <w:t>月</w:t>
            </w:r>
            <w:r>
              <w:rPr>
                <w:rFonts w:hint="eastAsia" w:ascii="Times New Roman" w:hAnsi="Times New Roman" w:cs="宋体"/>
                <w:color w:val="000000"/>
                <w:kern w:val="0"/>
                <w:sz w:val="20"/>
                <w:szCs w:val="20"/>
              </w:rPr>
              <w:t>31</w:t>
            </w:r>
            <w:r>
              <w:rPr>
                <w:rFonts w:hint="eastAsia" w:ascii="Times New Roman" w:hAnsi="宋体" w:cs="宋体"/>
                <w:color w:val="000000"/>
                <w:kern w:val="0"/>
                <w:sz w:val="20"/>
                <w:szCs w:val="20"/>
              </w:rPr>
              <w:t>日</w:t>
            </w:r>
          </w:p>
        </w:tc>
      </w:tr>
    </w:tbl>
    <w:p>
      <w:pPr>
        <w:keepNext w:val="0"/>
        <w:keepLines w:val="0"/>
        <w:pageBreakBefore w:val="0"/>
        <w:kinsoku/>
        <w:wordWrap/>
        <w:overflowPunct/>
        <w:topLinePunct w:val="0"/>
        <w:autoSpaceDE/>
        <w:autoSpaceDN/>
        <w:bidi w:val="0"/>
        <w:adjustRightInd/>
        <w:snapToGrid w:val="0"/>
        <w:spacing w:line="260" w:lineRule="exact"/>
        <w:textAlignment w:val="auto"/>
        <w:outlineLvl w:val="9"/>
        <w:rPr>
          <w:rFonts w:hint="eastAsia"/>
          <w:color w:val="010000"/>
        </w:rPr>
        <w:sectPr>
          <w:pgSz w:w="16838" w:h="11906" w:orient="landscape"/>
          <w:pgMar w:top="1797" w:right="1440" w:bottom="1418" w:left="1440" w:header="851" w:footer="992" w:gutter="0"/>
          <w:pgNumType w:fmt="numberInDash"/>
          <w:cols w:space="720" w:num="1"/>
          <w:docGrid w:type="linesAndChars" w:linePitch="312" w:charSpace="0"/>
        </w:sectPr>
      </w:pPr>
    </w:p>
    <w:p>
      <w:pPr>
        <w:snapToGrid w:val="0"/>
        <w:spacing w:line="60" w:lineRule="auto"/>
        <w:rPr>
          <w:rFonts w:hint="eastAsia" w:ascii="方正仿宋_GBK" w:hAnsi="方正仿宋_GBK" w:eastAsia="方正仿宋_GBK" w:cs="方正仿宋_GBK"/>
          <w:sz w:val="32"/>
          <w:szCs w:val="32"/>
        </w:rPr>
      </w:pPr>
    </w:p>
    <w:sectPr>
      <w:pgSz w:w="11906" w:h="16838"/>
      <w:pgMar w:top="1440" w:right="1417" w:bottom="1440" w:left="1797" w:header="851" w:footer="992" w:gutter="0"/>
      <w:pgNumType w:fmt="numberInDash"/>
      <w:cols w:space="0" w:num="1"/>
      <w:rtlGutter w:val="0"/>
      <w:docGrid w:type="linesAndChars" w:linePitch="31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eiryo">
    <w:altName w:val="Yu Gothic UI"/>
    <w:panose1 w:val="020B0604030504040204"/>
    <w:charset w:val="80"/>
    <w:family w:val="swiss"/>
    <w:pitch w:val="default"/>
    <w:sig w:usb0="00000000" w:usb1="00000000" w:usb2="00010012" w:usb3="00000000" w:csb0="6002009F" w:csb1="DFD7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8B5083"/>
    <w:rsid w:val="00063691"/>
    <w:rsid w:val="00064B13"/>
    <w:rsid w:val="00096A26"/>
    <w:rsid w:val="000B3845"/>
    <w:rsid w:val="001303DF"/>
    <w:rsid w:val="001C2217"/>
    <w:rsid w:val="001E575C"/>
    <w:rsid w:val="00244EE8"/>
    <w:rsid w:val="002A466B"/>
    <w:rsid w:val="003447AA"/>
    <w:rsid w:val="003510D8"/>
    <w:rsid w:val="0035232D"/>
    <w:rsid w:val="0037213D"/>
    <w:rsid w:val="003D6C22"/>
    <w:rsid w:val="00435ABE"/>
    <w:rsid w:val="004F0427"/>
    <w:rsid w:val="005502C5"/>
    <w:rsid w:val="00553B6D"/>
    <w:rsid w:val="00592784"/>
    <w:rsid w:val="005947CF"/>
    <w:rsid w:val="005B47E1"/>
    <w:rsid w:val="005E44A0"/>
    <w:rsid w:val="00607DDD"/>
    <w:rsid w:val="006143FE"/>
    <w:rsid w:val="00635DE4"/>
    <w:rsid w:val="00636AF5"/>
    <w:rsid w:val="0067453C"/>
    <w:rsid w:val="006C5E5E"/>
    <w:rsid w:val="006D4750"/>
    <w:rsid w:val="00763475"/>
    <w:rsid w:val="007A635B"/>
    <w:rsid w:val="007D747D"/>
    <w:rsid w:val="007E0AFE"/>
    <w:rsid w:val="008172AB"/>
    <w:rsid w:val="00830E03"/>
    <w:rsid w:val="00861AA0"/>
    <w:rsid w:val="008B5083"/>
    <w:rsid w:val="008E4611"/>
    <w:rsid w:val="0090540B"/>
    <w:rsid w:val="00940CDD"/>
    <w:rsid w:val="009B3970"/>
    <w:rsid w:val="009C0ADA"/>
    <w:rsid w:val="00A9471C"/>
    <w:rsid w:val="00AA078C"/>
    <w:rsid w:val="00B361F3"/>
    <w:rsid w:val="00B57993"/>
    <w:rsid w:val="00B74947"/>
    <w:rsid w:val="00C1615D"/>
    <w:rsid w:val="00C66144"/>
    <w:rsid w:val="00C754C9"/>
    <w:rsid w:val="00CB3711"/>
    <w:rsid w:val="00CB7950"/>
    <w:rsid w:val="00CC2CF5"/>
    <w:rsid w:val="00D23278"/>
    <w:rsid w:val="00D42007"/>
    <w:rsid w:val="00D5258A"/>
    <w:rsid w:val="00D52CDB"/>
    <w:rsid w:val="00D667A7"/>
    <w:rsid w:val="00E65920"/>
    <w:rsid w:val="00E65CE2"/>
    <w:rsid w:val="00E9228B"/>
    <w:rsid w:val="00EA5B91"/>
    <w:rsid w:val="00EA68FB"/>
    <w:rsid w:val="00EC6320"/>
    <w:rsid w:val="00F04392"/>
    <w:rsid w:val="00F17D48"/>
    <w:rsid w:val="00F701BA"/>
    <w:rsid w:val="00F71E24"/>
    <w:rsid w:val="00F76CFD"/>
    <w:rsid w:val="00F82B98"/>
    <w:rsid w:val="00F97B57"/>
    <w:rsid w:val="00FA72F9"/>
    <w:rsid w:val="00FB070A"/>
    <w:rsid w:val="0B7C030E"/>
    <w:rsid w:val="0EBF2B8D"/>
    <w:rsid w:val="10703996"/>
    <w:rsid w:val="144403F5"/>
    <w:rsid w:val="1CB51386"/>
    <w:rsid w:val="2091606E"/>
    <w:rsid w:val="29CB35A6"/>
    <w:rsid w:val="4E0A12F1"/>
    <w:rsid w:val="51157781"/>
    <w:rsid w:val="561B4028"/>
    <w:rsid w:val="6A183ADD"/>
    <w:rsid w:val="768B6B4E"/>
    <w:rsid w:val="78730E6C"/>
    <w:rsid w:val="7C360C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sz w:val="1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jc w:val="center"/>
    </w:pPr>
    <w:rPr>
      <w:rFonts w:eastAsia="仿宋_GB2312"/>
      <w:b/>
      <w:color w:val="FF0000"/>
      <w:sz w:val="44"/>
      <w:szCs w:val="32"/>
    </w:rPr>
  </w:style>
  <w:style w:type="paragraph" w:styleId="4">
    <w:name w:val="Balloon Text"/>
    <w:basedOn w:val="1"/>
    <w:link w:val="11"/>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批注框文本 Char"/>
    <w:basedOn w:val="9"/>
    <w:link w:val="4"/>
    <w:semiHidden/>
    <w:qFormat/>
    <w:uiPriority w:val="99"/>
    <w:rPr>
      <w:kern w:val="2"/>
      <w:sz w:val="18"/>
      <w:szCs w:val="18"/>
    </w:rPr>
  </w:style>
  <w:style w:type="character" w:customStyle="1" w:styleId="12">
    <w:name w:val="页眉 Char"/>
    <w:basedOn w:val="9"/>
    <w:link w:val="6"/>
    <w:qFormat/>
    <w:uiPriority w:val="0"/>
    <w:rPr>
      <w:rFonts w:ascii="Times New Roman" w:hAnsi="Times New Roman"/>
      <w:kern w:val="2"/>
      <w:sz w:val="18"/>
      <w:szCs w:val="18"/>
    </w:rPr>
  </w:style>
  <w:style w:type="character" w:customStyle="1" w:styleId="13">
    <w:name w:val="正文文本 Char"/>
    <w:basedOn w:val="9"/>
    <w:link w:val="3"/>
    <w:qFormat/>
    <w:uiPriority w:val="0"/>
    <w:rPr>
      <w:rFonts w:eastAsia="仿宋_GB2312"/>
      <w:b/>
      <w:color w:val="FF0000"/>
      <w:kern w:val="2"/>
      <w:sz w:val="44"/>
      <w:szCs w:val="32"/>
    </w:rPr>
  </w:style>
  <w:style w:type="character" w:customStyle="1" w:styleId="14">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6298</Words>
  <Characters>6955</Characters>
  <Lines>40</Lines>
  <Paragraphs>11</Paragraphs>
  <TotalTime>2</TotalTime>
  <ScaleCrop>false</ScaleCrop>
  <LinksUpToDate>false</LinksUpToDate>
  <CharactersWithSpaces>7017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2019-12-30T07:41:00Z</dcterms:created>
  <dc:creator>Windows User</dc:creator>
  <cp:lastModifiedBy>Acer</cp:lastModifiedBy>
  <cp:lastPrinted>2019-12-31T01:48:00Z</cp:lastPrinted>
  <dcterms:modified xsi:type="dcterms:W3CDTF">2022-08-11T03:34:10Z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A539673D124C4C71BC7556AFC56CE704</vt:lpwstr>
  </property>
</Properties>
</file>