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微软雅黑" w:eastAsia="方正小标宋_GBK" w:cs="Times New Roman"/>
          <w:color w:val="222222"/>
          <w:spacing w:val="0"/>
          <w:sz w:val="44"/>
          <w:szCs w:val="44"/>
          <w:shd w:val="clear" w:color="auto" w:fill="FFFFFF"/>
        </w:rPr>
      </w:pPr>
      <w:r>
        <w:rPr>
          <w:rFonts w:hint="eastAsia" w:ascii="方正小标宋_GBK" w:hAnsi="微软雅黑" w:eastAsia="方正小标宋_GBK" w:cs="Times New Roman"/>
          <w:color w:val="222222"/>
          <w:spacing w:val="0"/>
          <w:sz w:val="44"/>
          <w:szCs w:val="44"/>
          <w:shd w:val="clear" w:color="auto" w:fill="FFFFFF"/>
        </w:rPr>
        <w:t>重庆市医疗保障局 重庆市卫生健康委员会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微软雅黑" w:eastAsia="方正小标宋_GBK" w:cs="Times New Roman"/>
          <w:color w:val="222222"/>
          <w:spacing w:val="0"/>
          <w:sz w:val="44"/>
          <w:szCs w:val="44"/>
          <w:shd w:val="clear" w:color="auto" w:fill="FFFFFF"/>
        </w:rPr>
      </w:pPr>
      <w:r>
        <w:rPr>
          <w:rFonts w:hint="eastAsia" w:ascii="方正小标宋_GBK" w:hAnsi="微软雅黑" w:eastAsia="方正小标宋_GBK" w:cs="Times New Roman"/>
          <w:color w:val="222222"/>
          <w:spacing w:val="0"/>
          <w:sz w:val="44"/>
          <w:szCs w:val="44"/>
          <w:shd w:val="clear" w:color="auto" w:fill="FFFFFF"/>
        </w:rPr>
        <w:t>关于进一步降低新冠病毒核酸检测</w:t>
      </w:r>
      <w:r>
        <w:rPr>
          <w:rFonts w:hint="eastAsia" w:ascii="方正小标宋_GBK" w:hAnsi="微软雅黑" w:eastAsia="方正小标宋_GBK" w:cs="Times New Roman"/>
          <w:color w:val="222222"/>
          <w:spacing w:val="0"/>
          <w:sz w:val="44"/>
          <w:szCs w:val="44"/>
          <w:shd w:val="clear" w:color="auto" w:fill="FFFFFF"/>
          <w:lang w:eastAsia="zh-CN"/>
        </w:rPr>
        <w:t>和抗原检测</w:t>
      </w:r>
      <w:r>
        <w:rPr>
          <w:rFonts w:hint="eastAsia" w:ascii="方正小标宋_GBK" w:hAnsi="微软雅黑" w:eastAsia="方正小标宋_GBK" w:cs="Times New Roman"/>
          <w:color w:val="222222"/>
          <w:spacing w:val="0"/>
          <w:sz w:val="44"/>
          <w:szCs w:val="44"/>
          <w:shd w:val="clear" w:color="auto" w:fill="FFFFFF"/>
        </w:rPr>
        <w:t>项目价格的通知</w:t>
      </w:r>
    </w:p>
    <w:p>
      <w:pPr>
        <w:autoSpaceDE w:val="0"/>
        <w:autoSpaceDN w:val="0"/>
        <w:adjustRightIn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渝</w:t>
      </w:r>
      <w:r>
        <w:rPr>
          <w:rFonts w:hint="default" w:ascii="Times New Roman" w:hAnsi="Times New Roman" w:eastAsia="方正仿宋_GBK" w:cs="Times New Roman"/>
          <w:lang w:eastAsia="zh-CN"/>
        </w:rPr>
        <w:t>医保</w:t>
      </w:r>
      <w:r>
        <w:rPr>
          <w:rFonts w:hint="default" w:ascii="Times New Roman" w:hAnsi="Times New Roman" w:eastAsia="方正仿宋_GBK" w:cs="Times New Roman"/>
        </w:rPr>
        <w:t>发〔20</w:t>
      </w:r>
      <w:r>
        <w:rPr>
          <w:rFonts w:hint="eastAsia" w:ascii="Times New Roman" w:hAnsi="Times New Roman" w:eastAsia="方正仿宋_GBK" w:cs="Times New Roman"/>
          <w:lang w:val="en-US" w:eastAsia="zh-CN"/>
        </w:rPr>
        <w:t>2</w:t>
      </w:r>
      <w:r>
        <w:rPr>
          <w:rFonts w:hint="eastAsia" w:eastAsia="方正仿宋_GBK" w:cs="Times New Roman"/>
          <w:lang w:val="en-US" w:eastAsia="zh-CN"/>
        </w:rPr>
        <w:t>2</w:t>
      </w:r>
      <w:r>
        <w:rPr>
          <w:rFonts w:hint="default" w:ascii="Times New Roman" w:hAnsi="Times New Roman" w:eastAsia="方正仿宋_GBK" w:cs="Times New Roman"/>
        </w:rPr>
        <w:t>〕</w:t>
      </w:r>
      <w:r>
        <w:rPr>
          <w:rFonts w:hint="eastAsia" w:eastAsia="方正仿宋_GBK" w:cs="Times New Roman"/>
          <w:lang w:val="en-US" w:eastAsia="zh-CN"/>
        </w:rPr>
        <w:t>15</w:t>
      </w:r>
      <w:r>
        <w:rPr>
          <w:rFonts w:hint="default" w:ascii="Times New Roman" w:hAnsi="Times New Roman" w:eastAsia="方正仿宋_GBK" w:cs="Times New Roma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各区县（自治县）医疗保障局、卫生健康委，两江新区社会保障局、社会发展局，高新区政务服务和社会事务中心、公共服务局，万盛经开区人力社保局、卫生健康局，各公立医疗机构，有关单位：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为贯彻落实</w:t>
      </w:r>
      <w:r>
        <w:rPr>
          <w:rFonts w:hint="eastAsia" w:ascii="Times New Roman" w:hAnsi="Times New Roman" w:eastAsia="方正仿宋_GBK" w:cs="方正仿宋_GBK"/>
          <w:sz w:val="32"/>
          <w:szCs w:val="32"/>
        </w:rPr>
        <w:t>新冠病毒肺炎疫情防控要求，</w:t>
      </w:r>
      <w:r>
        <w:rPr>
          <w:rFonts w:hint="eastAsia" w:ascii="Times New Roman" w:hAnsi="Times New Roman" w:eastAsia="方正仿宋_GBK" w:cs="方正仿宋_GBK"/>
          <w:sz w:val="32"/>
          <w:szCs w:val="32"/>
          <w:lang w:eastAsia="zh-CN"/>
        </w:rPr>
        <w:t>配合做好大规模筛查和常态化检测工作，</w:t>
      </w:r>
      <w:r>
        <w:rPr>
          <w:rFonts w:hint="eastAsia" w:ascii="Times New Roman" w:hAnsi="Times New Roman" w:eastAsia="方正仿宋_GBK" w:cs="方正仿宋_GBK"/>
          <w:sz w:val="32"/>
          <w:szCs w:val="32"/>
        </w:rPr>
        <w:t>降低</w:t>
      </w:r>
      <w:r>
        <w:rPr>
          <w:rFonts w:hint="eastAsia" w:ascii="Times New Roman" w:hAnsi="Times New Roman" w:eastAsia="方正仿宋_GBK" w:cs="方正仿宋_GBK"/>
          <w:sz w:val="32"/>
          <w:szCs w:val="32"/>
          <w:lang w:eastAsia="zh-CN"/>
        </w:rPr>
        <w:t>群众负担和社会</w:t>
      </w:r>
      <w:r>
        <w:rPr>
          <w:rFonts w:hint="eastAsia" w:ascii="Times New Roman" w:hAnsi="Times New Roman" w:eastAsia="方正仿宋_GBK" w:cs="方正仿宋_GBK"/>
          <w:sz w:val="32"/>
          <w:szCs w:val="32"/>
        </w:rPr>
        <w:t>成本，</w:t>
      </w:r>
      <w:r>
        <w:rPr>
          <w:rFonts w:hint="eastAsia" w:ascii="Times New Roman" w:hAnsi="Times New Roman" w:eastAsia="方正仿宋_GBK" w:cs="方正仿宋_GBK"/>
          <w:sz w:val="32"/>
          <w:szCs w:val="32"/>
          <w:lang w:eastAsia="zh-CN"/>
        </w:rPr>
        <w:t>根据《国家医疗保障局办公室国务院应对新型冠状病毒肺炎疫情联防联控机制医疗救治组关于进一步降低新冠病毒核酸检测和抗原检测价格的通知》（医保办发〔</w:t>
      </w:r>
      <w:r>
        <w:rPr>
          <w:rFonts w:hint="eastAsia" w:ascii="Times New Roman" w:hAnsi="Times New Roman" w:eastAsia="方正仿宋_GBK" w:cs="方正仿宋_GBK"/>
          <w:sz w:val="32"/>
          <w:szCs w:val="32"/>
          <w:lang w:val="en-US" w:eastAsia="zh-CN"/>
        </w:rPr>
        <w:t>2022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10号）要求</w:t>
      </w:r>
      <w:r>
        <w:rPr>
          <w:rFonts w:hint="eastAsia" w:ascii="Times New Roman" w:hAnsi="Times New Roman" w:eastAsia="方正仿宋_GBK" w:cs="方正仿宋_GBK"/>
          <w:sz w:val="32"/>
          <w:szCs w:val="32"/>
        </w:rPr>
        <w:t>，经研究，</w:t>
      </w:r>
      <w:r>
        <w:rPr>
          <w:rFonts w:hint="eastAsia" w:ascii="Times New Roman" w:hAnsi="Times New Roman" w:eastAsia="方正仿宋_GBK" w:cs="方正仿宋_GBK"/>
          <w:sz w:val="32"/>
          <w:szCs w:val="32"/>
          <w:lang w:eastAsia="zh-CN"/>
        </w:rPr>
        <w:t>现将</w:t>
      </w:r>
      <w:r>
        <w:rPr>
          <w:rFonts w:hint="eastAsia" w:ascii="Times New Roman" w:hAnsi="Times New Roman" w:eastAsia="方正仿宋_GBK" w:cs="方正仿宋_GBK"/>
          <w:sz w:val="32"/>
          <w:szCs w:val="32"/>
        </w:rPr>
        <w:t>进一步降低新冠病毒核酸检测和抗原检测项目价格</w:t>
      </w:r>
      <w:r>
        <w:rPr>
          <w:rFonts w:hint="eastAsia" w:ascii="Times New Roman" w:hAnsi="Times New Roman" w:eastAsia="方正仿宋_GBK" w:cs="方正仿宋_GBK"/>
          <w:sz w:val="32"/>
          <w:szCs w:val="32"/>
          <w:lang w:eastAsia="zh-CN"/>
        </w:rPr>
        <w:t>的相关</w:t>
      </w:r>
      <w:r>
        <w:rPr>
          <w:rFonts w:hint="eastAsia" w:ascii="Times New Roman" w:hAnsi="Times New Roman" w:eastAsia="方正仿宋_GBK" w:cs="方正仿宋_GBK"/>
          <w:sz w:val="32"/>
          <w:szCs w:val="32"/>
        </w:rPr>
        <w:t>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w:t>
      </w:r>
      <w:r>
        <w:rPr>
          <w:rFonts w:hint="eastAsia" w:ascii="Times New Roman" w:hAnsi="Times New Roman" w:eastAsia="方正仿宋_GBK" w:cs="方正仿宋_GBK"/>
          <w:sz w:val="32"/>
          <w:szCs w:val="32"/>
          <w:lang w:eastAsia="zh-CN"/>
        </w:rPr>
        <w:t>进一步下调</w:t>
      </w:r>
      <w:r>
        <w:rPr>
          <w:rFonts w:hint="eastAsia" w:ascii="Times New Roman" w:hAnsi="Times New Roman" w:eastAsia="方正仿宋_GBK" w:cs="方正仿宋_GBK"/>
          <w:sz w:val="32"/>
          <w:szCs w:val="32"/>
        </w:rPr>
        <w:t>公立医疗机构新冠病毒核酸检测的政府指导价。单人单检降至不高于每人份</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多人混检统一降至每人份不高于</w:t>
      </w:r>
      <w:r>
        <w:rPr>
          <w:rFonts w:hint="eastAsia" w:ascii="Times New Roman" w:hAnsi="Times New Roman" w:eastAsia="方正仿宋_GBK" w:cs="方正仿宋_GBK"/>
          <w:sz w:val="32"/>
          <w:szCs w:val="32"/>
          <w:lang w:val="en-US" w:eastAsia="zh-CN"/>
        </w:rPr>
        <w:t>3.5</w:t>
      </w:r>
      <w:r>
        <w:rPr>
          <w:rFonts w:hint="eastAsia" w:ascii="Times New Roman" w:hAnsi="Times New Roman" w:eastAsia="方正仿宋_GBK" w:cs="方正仿宋_GBK"/>
          <w:sz w:val="32"/>
          <w:szCs w:val="32"/>
        </w:rPr>
        <w:t>元。检测</w:t>
      </w:r>
      <w:r>
        <w:rPr>
          <w:rFonts w:hint="eastAsia" w:ascii="Times New Roman" w:hAnsi="Times New Roman" w:eastAsia="方正仿宋_GBK" w:cs="方正仿宋_GBK"/>
          <w:sz w:val="32"/>
          <w:szCs w:val="32"/>
          <w:lang w:eastAsia="zh-CN"/>
        </w:rPr>
        <w:t>项目</w:t>
      </w:r>
      <w:r>
        <w:rPr>
          <w:rFonts w:hint="eastAsia" w:ascii="Times New Roman" w:hAnsi="Times New Roman" w:eastAsia="方正仿宋_GBK" w:cs="方正仿宋_GBK"/>
          <w:sz w:val="32"/>
          <w:szCs w:val="32"/>
        </w:rPr>
        <w:t>价格含检验相关的试剂等耗材，为各级公立医疗机构最高指导价格，不得上浮，医疗机构可以下浮执行。同步调整完善新冠病毒核酸检测项目（含单、混检）的医保报销属性及报销限制，具体详见附件</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二、进一步下调公立医疗机构新冠病毒抗原检测的政府指导价。公立医疗机构开展的新冠病毒抗原检测服务按照“检测价格项目+检测试剂”的方式收费。其中，新冠病毒抗原检测医疗服务项目政府指导价降至不高于</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元/人次；新冠</w:t>
      </w:r>
      <w:r>
        <w:rPr>
          <w:rFonts w:hint="eastAsia" w:eastAsia="方正仿宋_GBK" w:cs="方正仿宋_GBK"/>
          <w:sz w:val="32"/>
          <w:szCs w:val="32"/>
          <w:lang w:val="en-US" w:eastAsia="zh-CN"/>
        </w:rPr>
        <w:t>病毒</w:t>
      </w:r>
      <w:bookmarkStart w:id="0" w:name="_GoBack"/>
      <w:bookmarkEnd w:id="0"/>
      <w:r>
        <w:rPr>
          <w:rFonts w:hint="eastAsia" w:ascii="Times New Roman" w:hAnsi="Times New Roman" w:eastAsia="方正仿宋_GBK" w:cs="方正仿宋_GBK"/>
          <w:sz w:val="32"/>
          <w:szCs w:val="32"/>
          <w:lang w:eastAsia="zh-CN"/>
        </w:rPr>
        <w:t>抗原检测试剂（含采样器具）按照实际采购价格零差率销售；“检测价格项目+检测试剂”费用总额的封顶标准降至不高于</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元/人次。</w:t>
      </w:r>
      <w:r>
        <w:rPr>
          <w:rFonts w:hint="eastAsia" w:ascii="Times New Roman" w:hAnsi="Times New Roman" w:eastAsia="方正仿宋_GBK" w:cs="方正仿宋_GBK"/>
          <w:kern w:val="2"/>
          <w:sz w:val="32"/>
          <w:szCs w:val="32"/>
          <w:lang w:val="en-US" w:eastAsia="zh-CN" w:bidi="ar"/>
        </w:rPr>
        <w:t>患者自测的，不得收取新冠病毒抗原检测费用。</w:t>
      </w:r>
      <w:r>
        <w:rPr>
          <w:rFonts w:hint="eastAsia" w:ascii="Times New Roman" w:hAnsi="Times New Roman" w:eastAsia="方正仿宋_GBK" w:cs="方正仿宋_GBK"/>
          <w:sz w:val="32"/>
          <w:szCs w:val="32"/>
          <w:lang w:eastAsia="zh-CN"/>
        </w:rPr>
        <w:t>同步调整完善新冠病毒抗原检测项目、检测试剂盒的医保报销属性及报销限制，具体详见附件</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三、对基层公立医疗机构实行“乡镇采样、区县检测”的，检测费用可由采样公立医疗机构代收，收入分配由检测、采样的公立医疗机构和基层医疗机构双方自行协商。检测机构仅提供样本转运及检测服务的，需降低计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sz w:val="32"/>
          <w:szCs w:val="32"/>
        </w:rPr>
        <w:t>、公立医疗机构开展新冠病毒核酸检测服务，应同时提供单人单检和多人混检两种服务选项，在符合疫情防控规定的前提下，允许“愿检尽检”的群众自愿选择。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非公立医疗机构，以及医学检验实验室等第三方检测机构提供新冠病毒核酸检测服务，定价应当遵循“公平、合法和诚实信用”原则，体现保本微利、质价相符，倡导参照公立医疗机构新冠病毒核酸检测项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六</w:t>
      </w:r>
      <w:r>
        <w:rPr>
          <w:rFonts w:hint="eastAsia" w:ascii="Times New Roman" w:hAnsi="Times New Roman" w:eastAsia="方正仿宋_GBK" w:cs="方正仿宋_GBK"/>
          <w:sz w:val="32"/>
          <w:szCs w:val="32"/>
        </w:rPr>
        <w:t>、涉及降低公立医疗机构新冠病毒核酸检测</w:t>
      </w:r>
      <w:r>
        <w:rPr>
          <w:rFonts w:hint="eastAsia" w:ascii="Times New Roman" w:hAnsi="Times New Roman" w:eastAsia="方正仿宋_GBK" w:cs="方正仿宋_GBK"/>
          <w:sz w:val="32"/>
          <w:szCs w:val="32"/>
          <w:lang w:eastAsia="zh-CN"/>
        </w:rPr>
        <w:t>项目</w:t>
      </w:r>
      <w:r>
        <w:rPr>
          <w:rFonts w:hint="eastAsia" w:ascii="Times New Roman" w:hAnsi="Times New Roman" w:eastAsia="方正仿宋_GBK" w:cs="方正仿宋_GBK"/>
          <w:sz w:val="32"/>
          <w:szCs w:val="32"/>
        </w:rPr>
        <w:t>价格的其他相关事项，按重庆市医疗保障局、重庆市卫生健康委员会《关于进一步降低新型冠状病毒核酸检测项目价格的通知》（渝医保发〔2021〕62号）执行。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七</w:t>
      </w:r>
      <w:r>
        <w:rPr>
          <w:rFonts w:hint="eastAsia" w:ascii="Times New Roman" w:hAnsi="Times New Roman" w:eastAsia="方正仿宋_GBK" w:cs="方正仿宋_GBK"/>
          <w:sz w:val="32"/>
          <w:szCs w:val="32"/>
        </w:rPr>
        <w:t>、本通知自2022年</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31</w:t>
      </w:r>
      <w:r>
        <w:rPr>
          <w:rFonts w:hint="eastAsia" w:ascii="Times New Roman" w:hAnsi="Times New Roman" w:eastAsia="方正仿宋_GBK" w:cs="方正仿宋_GBK"/>
          <w:sz w:val="32"/>
          <w:szCs w:val="32"/>
        </w:rPr>
        <w:t>日零时起执行。原有政策与本通知不一致的，以本通知为准。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Times New Roman"/>
          <w:spacing w:val="0"/>
          <w:sz w:val="32"/>
          <w:szCs w:val="32"/>
        </w:rPr>
        <w:t>附件：</w:t>
      </w:r>
      <w:r>
        <w:rPr>
          <w:rFonts w:hint="eastAsia" w:ascii="Times New Roman" w:hAnsi="Times New Roman" w:eastAsia="方正仿宋_GBK" w:cs="方正仿宋_GBK"/>
          <w:spacing w:val="0"/>
          <w:sz w:val="32"/>
          <w:szCs w:val="32"/>
          <w:lang w:val="en-US" w:eastAsia="zh-CN"/>
        </w:rPr>
        <w:t>1</w:t>
      </w:r>
      <w:r>
        <w:rPr>
          <w:rFonts w:hint="eastAsia" w:eastAsia="方正仿宋_GBK" w:cs="方正仿宋_GBK"/>
          <w:spacing w:val="0"/>
          <w:sz w:val="32"/>
          <w:szCs w:val="32"/>
          <w:lang w:val="en-US" w:eastAsia="zh-CN"/>
        </w:rPr>
        <w:t>．</w:t>
      </w:r>
      <w:r>
        <w:rPr>
          <w:rFonts w:hint="eastAsia" w:ascii="Times New Roman" w:hAnsi="Times New Roman" w:eastAsia="方正仿宋_GBK" w:cs="方正仿宋_GBK"/>
          <w:spacing w:val="0"/>
          <w:sz w:val="32"/>
          <w:szCs w:val="32"/>
          <w:lang w:val="en-US" w:eastAsia="zh-CN"/>
        </w:rPr>
        <w:t>新型冠状病毒核酸检测等项目价格表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pacing w:val="-11"/>
          <w:sz w:val="32"/>
          <w:szCs w:val="32"/>
          <w:lang w:val="en-US" w:eastAsia="zh-CN"/>
        </w:rPr>
      </w:pPr>
      <w:r>
        <w:rPr>
          <w:rFonts w:hint="eastAsia" w:ascii="Times New Roman" w:hAnsi="Times New Roman" w:eastAsia="方正仿宋_GBK" w:cs="Times New Roman"/>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 xml:space="preserve">   </w:t>
      </w:r>
      <w:r>
        <w:rPr>
          <w:rFonts w:hint="eastAsia" w:ascii="Times New Roman" w:hAnsi="Times New Roman" w:eastAsia="方正仿宋_GBK" w:cs="方正仿宋_GBK"/>
          <w:spacing w:val="0"/>
          <w:sz w:val="32"/>
          <w:szCs w:val="32"/>
          <w:lang w:val="en-US" w:eastAsia="zh-CN"/>
        </w:rPr>
        <w:t>2</w:t>
      </w:r>
      <w:r>
        <w:rPr>
          <w:rFonts w:hint="eastAsia" w:eastAsia="方正仿宋_GBK" w:cs="方正仿宋_GBK"/>
          <w:spacing w:val="0"/>
          <w:sz w:val="32"/>
          <w:szCs w:val="32"/>
          <w:lang w:val="en-US" w:eastAsia="zh-CN"/>
        </w:rPr>
        <w:t>．</w:t>
      </w:r>
      <w:r>
        <w:rPr>
          <w:rFonts w:hint="eastAsia" w:ascii="Times New Roman" w:hAnsi="Times New Roman" w:eastAsia="方正仿宋_GBK" w:cs="方正仿宋_GBK"/>
          <w:spacing w:val="-11"/>
          <w:sz w:val="32"/>
          <w:szCs w:val="32"/>
          <w:lang w:val="en-US" w:eastAsia="zh-CN"/>
        </w:rPr>
        <w:t>新型冠状病毒抗原检测试剂盒临时纳入医保耗材目录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重庆市医疗保障局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重庆市卫生健康委员会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5692" w:firstLineChars="1779"/>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2022年5月</w:t>
      </w:r>
      <w:r>
        <w:rPr>
          <w:rFonts w:hint="eastAsia"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eastAsia" w:ascii="Times New Roman" w:hAnsi="Times New Roman" w:eastAsia="方正仿宋_GBK" w:cs="Times New Roman"/>
          <w:sz w:val="32"/>
          <w:szCs w:val="32"/>
          <w:lang w:eastAsia="zh-CN"/>
        </w:rPr>
        <w:t>（此件公开发布）</w:t>
      </w:r>
    </w:p>
    <w:p>
      <w:pPr>
        <w:spacing w:line="600" w:lineRule="exact"/>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pPr>
        <w:spacing w:line="500" w:lineRule="exact"/>
        <w:jc w:val="center"/>
        <w:rPr>
          <w:rFonts w:ascii="方正小标宋_GBK" w:hAnsi="Calibri" w:eastAsia="方正小标宋_GBK"/>
          <w:sz w:val="44"/>
          <w:szCs w:val="44"/>
        </w:rPr>
      </w:pPr>
      <w:r>
        <w:rPr>
          <w:rFonts w:hint="eastAsia" w:ascii="方正小标宋_GBK" w:hAnsi="Calibri" w:eastAsia="方正小标宋_GBK"/>
          <w:color w:val="000000"/>
          <w:kern w:val="0"/>
          <w:sz w:val="44"/>
          <w:szCs w:val="44"/>
        </w:rPr>
        <w:t>新型冠状病毒核酸检测</w:t>
      </w:r>
      <w:r>
        <w:rPr>
          <w:rFonts w:hint="eastAsia" w:ascii="方正小标宋_GBK" w:hAnsi="Calibri" w:eastAsia="方正小标宋_GBK"/>
          <w:color w:val="000000"/>
          <w:kern w:val="0"/>
          <w:sz w:val="44"/>
          <w:szCs w:val="44"/>
          <w:lang w:eastAsia="zh-CN"/>
        </w:rPr>
        <w:t>等</w:t>
      </w:r>
      <w:r>
        <w:rPr>
          <w:rFonts w:hint="eastAsia" w:ascii="方正小标宋_GBK" w:hAnsi="Calibri" w:eastAsia="方正小标宋_GBK"/>
          <w:color w:val="000000"/>
          <w:kern w:val="0"/>
          <w:sz w:val="44"/>
          <w:szCs w:val="44"/>
        </w:rPr>
        <w:t>项目价格表</w:t>
      </w:r>
    </w:p>
    <w:tbl>
      <w:tblPr>
        <w:tblStyle w:val="12"/>
        <w:tblW w:w="5566" w:type="pct"/>
        <w:jc w:val="center"/>
        <w:tblLayout w:type="autofit"/>
        <w:tblCellMar>
          <w:top w:w="0" w:type="dxa"/>
          <w:left w:w="108" w:type="dxa"/>
          <w:bottom w:w="0" w:type="dxa"/>
          <w:right w:w="108" w:type="dxa"/>
        </w:tblCellMar>
      </w:tblPr>
      <w:tblGrid>
        <w:gridCol w:w="1106"/>
        <w:gridCol w:w="1241"/>
        <w:gridCol w:w="2174"/>
        <w:gridCol w:w="1038"/>
        <w:gridCol w:w="1038"/>
        <w:gridCol w:w="892"/>
        <w:gridCol w:w="1129"/>
        <w:gridCol w:w="2331"/>
        <w:gridCol w:w="1065"/>
        <w:gridCol w:w="2426"/>
      </w:tblGrid>
      <w:tr>
        <w:tblPrEx>
          <w:tblCellMar>
            <w:top w:w="0" w:type="dxa"/>
            <w:left w:w="108" w:type="dxa"/>
            <w:bottom w:w="0" w:type="dxa"/>
            <w:right w:w="108" w:type="dxa"/>
          </w:tblCellMar>
        </w:tblPrEx>
        <w:trPr>
          <w:trHeight w:val="588"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项目编码</w:t>
            </w:r>
          </w:p>
        </w:tc>
        <w:tc>
          <w:tcPr>
            <w:tcW w:w="43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名称</w:t>
            </w:r>
          </w:p>
        </w:tc>
        <w:tc>
          <w:tcPr>
            <w:tcW w:w="75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项目</w:t>
            </w:r>
          </w:p>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内涵</w:t>
            </w:r>
          </w:p>
        </w:tc>
        <w:tc>
          <w:tcPr>
            <w:tcW w:w="36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rPr>
            </w:pPr>
          </w:p>
        </w:tc>
        <w:tc>
          <w:tcPr>
            <w:tcW w:w="36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除外</w:t>
            </w:r>
          </w:p>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内容</w:t>
            </w:r>
          </w:p>
        </w:tc>
        <w:tc>
          <w:tcPr>
            <w:tcW w:w="30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计价</w:t>
            </w:r>
          </w:p>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单位</w:t>
            </w:r>
          </w:p>
        </w:tc>
        <w:tc>
          <w:tcPr>
            <w:tcW w:w="391"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政府指导价（元）</w:t>
            </w:r>
          </w:p>
        </w:tc>
        <w:tc>
          <w:tcPr>
            <w:tcW w:w="80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说明</w:t>
            </w:r>
          </w:p>
        </w:tc>
        <w:tc>
          <w:tcPr>
            <w:tcW w:w="36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医保</w:t>
            </w:r>
          </w:p>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属性</w:t>
            </w:r>
          </w:p>
        </w:tc>
        <w:tc>
          <w:tcPr>
            <w:tcW w:w="8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eastAsia="方正黑体_GBK" w:cs="方正书宋_GBK"/>
                <w:color w:val="000000"/>
                <w:kern w:val="0"/>
                <w:sz w:val="24"/>
              </w:rPr>
            </w:pPr>
            <w:r>
              <w:rPr>
                <w:rFonts w:hint="eastAsia" w:eastAsia="方正黑体_GBK" w:cs="方正书宋_GBK"/>
                <w:color w:val="000000"/>
                <w:kern w:val="0"/>
                <w:sz w:val="24"/>
                <w:szCs w:val="24"/>
              </w:rPr>
              <w:t>医保报销限制</w:t>
            </w:r>
          </w:p>
        </w:tc>
      </w:tr>
      <w:tr>
        <w:tblPrEx>
          <w:tblCellMar>
            <w:top w:w="0" w:type="dxa"/>
            <w:left w:w="108" w:type="dxa"/>
            <w:bottom w:w="0" w:type="dxa"/>
            <w:right w:w="108" w:type="dxa"/>
          </w:tblCellMar>
        </w:tblPrEx>
        <w:trPr>
          <w:trHeight w:val="2711"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250403088</w:t>
            </w:r>
          </w:p>
        </w:tc>
        <w:tc>
          <w:tcPr>
            <w:tcW w:w="43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新型冠状病毒核酸检测</w:t>
            </w:r>
          </w:p>
        </w:tc>
        <w:tc>
          <w:tcPr>
            <w:tcW w:w="75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样本类型：各种标本。样本采集、签收、处理（据标本类型不同进行相应的前处理），提取模板RNA，与标准品、阴阳性对照及质控品同时进行实时荧光扩增，进行定量分析，判断并审核结果，录入实验室信息系统或人工登记，发送报告，按规定处理废弃物</w:t>
            </w:r>
            <w:r>
              <w:rPr>
                <w:rFonts w:hint="eastAsia" w:ascii="Times New Roman" w:hAnsi="Times New Roman" w:eastAsia="方正仿宋_GBK" w:cs="方正仿宋_GBK"/>
                <w:color w:val="000000"/>
                <w:kern w:val="0"/>
                <w:sz w:val="18"/>
                <w:szCs w:val="18"/>
                <w:lang w:eastAsia="zh-CN"/>
              </w:rPr>
              <w:t>；</w:t>
            </w:r>
            <w:r>
              <w:rPr>
                <w:rFonts w:hint="eastAsia" w:ascii="Times New Roman" w:hAnsi="Times New Roman" w:eastAsia="方正仿宋_GBK" w:cs="方正仿宋_GBK"/>
                <w:color w:val="000000"/>
                <w:kern w:val="0"/>
                <w:sz w:val="18"/>
                <w:szCs w:val="18"/>
              </w:rPr>
              <w:t>接受临床相关咨询。</w:t>
            </w:r>
          </w:p>
        </w:tc>
        <w:tc>
          <w:tcPr>
            <w:tcW w:w="36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p>
        </w:tc>
        <w:tc>
          <w:tcPr>
            <w:tcW w:w="36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p>
        </w:tc>
        <w:tc>
          <w:tcPr>
            <w:tcW w:w="30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人份</w:t>
            </w:r>
          </w:p>
        </w:tc>
        <w:tc>
          <w:tcPr>
            <w:tcW w:w="391"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16</w:t>
            </w:r>
          </w:p>
        </w:tc>
        <w:tc>
          <w:tcPr>
            <w:tcW w:w="807" w:type="pct"/>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spacing w:before="0" w:beforeAutospacing="0" w:after="0" w:afterAutospacing="0" w:line="200" w:lineRule="exact"/>
              <w:ind w:right="0"/>
              <w:jc w:val="both"/>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适用各种检测方法。项目政府指导价为各级公立医疗机构最高收费标准，公立医疗机构可以下浮执行。</w:t>
            </w:r>
          </w:p>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2．按照市卫生健康部门技术要求和标准实施混合检测的，每人次按不高于</w:t>
            </w:r>
            <w:r>
              <w:rPr>
                <w:rFonts w:hint="eastAsia" w:ascii="Times New Roman" w:hAnsi="Times New Roman" w:eastAsia="方正仿宋_GBK" w:cs="方正仿宋_GBK"/>
                <w:color w:val="000000"/>
                <w:kern w:val="0"/>
                <w:sz w:val="18"/>
                <w:szCs w:val="18"/>
                <w:lang w:val="en-US" w:eastAsia="zh-CN"/>
              </w:rPr>
              <w:t>3.5</w:t>
            </w:r>
            <w:r>
              <w:rPr>
                <w:rFonts w:hint="eastAsia" w:ascii="Times New Roman" w:hAnsi="Times New Roman" w:eastAsia="方正仿宋_GBK" w:cs="方正仿宋_GBK"/>
                <w:color w:val="000000"/>
                <w:kern w:val="0"/>
                <w:sz w:val="18"/>
                <w:szCs w:val="18"/>
              </w:rPr>
              <w:t>元收费（含体外诊断试剂盒等耗材）。</w:t>
            </w:r>
          </w:p>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3.医疗机构为单纯进行核酸检测（包括混检）的群众提供采样服务，群众无需挂号且不得收取门诊诊察费（含一般诊疗费）。</w:t>
            </w:r>
          </w:p>
        </w:tc>
        <w:tc>
          <w:tcPr>
            <w:tcW w:w="36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甲类</w:t>
            </w:r>
          </w:p>
        </w:tc>
        <w:tc>
          <w:tcPr>
            <w:tcW w:w="8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lang w:val="en-US" w:eastAsia="zh-CN"/>
              </w:rPr>
              <w:t>1.</w:t>
            </w:r>
            <w:r>
              <w:rPr>
                <w:rFonts w:hint="eastAsia" w:ascii="Times New Roman" w:hAnsi="Times New Roman" w:eastAsia="方正仿宋_GBK" w:cs="方正仿宋_GBK"/>
                <w:color w:val="000000"/>
                <w:kern w:val="0"/>
                <w:sz w:val="18"/>
                <w:szCs w:val="18"/>
              </w:rPr>
              <w:t>限我市职工医保和居民医保参保人员新住院或在发热门诊治疗时，所接受的“新型冠状病毒核酸检测”予以报销，一次就诊限报一次</w:t>
            </w:r>
            <w:r>
              <w:rPr>
                <w:rFonts w:hint="eastAsia" w:ascii="Times New Roman" w:hAnsi="Times New Roman" w:eastAsia="方正仿宋_GBK" w:cs="方正仿宋_GBK"/>
                <w:color w:val="000000"/>
                <w:kern w:val="0"/>
                <w:sz w:val="18"/>
                <w:szCs w:val="18"/>
                <w:lang w:eastAsia="zh-CN"/>
              </w:rPr>
              <w:t>；</w:t>
            </w:r>
            <w:r>
              <w:rPr>
                <w:rFonts w:hint="eastAsia" w:ascii="Times New Roman" w:hAnsi="Times New Roman" w:eastAsia="方正仿宋_GBK" w:cs="方正仿宋_GBK"/>
                <w:color w:val="000000"/>
                <w:kern w:val="0"/>
                <w:sz w:val="18"/>
                <w:szCs w:val="18"/>
              </w:rPr>
              <w:br w:type="textWrapping"/>
            </w:r>
            <w:r>
              <w:rPr>
                <w:rFonts w:hint="eastAsia" w:ascii="Times New Roman" w:hAnsi="Times New Roman" w:eastAsia="方正仿宋_GBK" w:cs="方正仿宋_GBK"/>
                <w:color w:val="000000"/>
                <w:kern w:val="0"/>
                <w:sz w:val="18"/>
                <w:szCs w:val="18"/>
                <w:lang w:val="en-US" w:eastAsia="zh-CN"/>
              </w:rPr>
              <w:t>2.医保全额报销。</w:t>
            </w:r>
          </w:p>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rPr>
            </w:pPr>
          </w:p>
        </w:tc>
      </w:tr>
      <w:tr>
        <w:tblPrEx>
          <w:tblCellMar>
            <w:top w:w="0" w:type="dxa"/>
            <w:left w:w="108" w:type="dxa"/>
            <w:bottom w:w="0" w:type="dxa"/>
            <w:right w:w="108" w:type="dxa"/>
          </w:tblCellMar>
        </w:tblPrEx>
        <w:trPr>
          <w:trHeight w:val="158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250403088a</w:t>
            </w:r>
          </w:p>
        </w:tc>
        <w:tc>
          <w:tcPr>
            <w:tcW w:w="43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新型冠状病毒核酸检测</w:t>
            </w:r>
            <w:r>
              <w:rPr>
                <w:rFonts w:hint="eastAsia" w:ascii="Times New Roman" w:hAnsi="Times New Roman" w:eastAsia="方正仿宋_GBK" w:cs="方正仿宋_GBK"/>
                <w:color w:val="000000"/>
                <w:kern w:val="0"/>
                <w:sz w:val="18"/>
                <w:szCs w:val="18"/>
              </w:rPr>
              <w:br w:type="textWrapping"/>
            </w:r>
            <w:r>
              <w:rPr>
                <w:rFonts w:hint="eastAsia" w:ascii="Times New Roman" w:hAnsi="Times New Roman" w:eastAsia="方正仿宋_GBK" w:cs="方正仿宋_GBK"/>
                <w:color w:val="000000"/>
                <w:kern w:val="0"/>
                <w:sz w:val="18"/>
                <w:szCs w:val="18"/>
              </w:rPr>
              <w:t>（多人混检）</w:t>
            </w:r>
          </w:p>
        </w:tc>
        <w:tc>
          <w:tcPr>
            <w:tcW w:w="753"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p>
        </w:tc>
        <w:tc>
          <w:tcPr>
            <w:tcW w:w="36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p>
        </w:tc>
        <w:tc>
          <w:tcPr>
            <w:tcW w:w="36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p>
        </w:tc>
        <w:tc>
          <w:tcPr>
            <w:tcW w:w="30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人份</w:t>
            </w:r>
          </w:p>
        </w:tc>
        <w:tc>
          <w:tcPr>
            <w:tcW w:w="391"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3.5</w:t>
            </w:r>
          </w:p>
        </w:tc>
        <w:tc>
          <w:tcPr>
            <w:tcW w:w="80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left"/>
              <w:rPr>
                <w:rFonts w:hint="eastAsia" w:ascii="Times New Roman" w:hAnsi="Times New Roman" w:eastAsia="方正仿宋_GBK" w:cs="方正仿宋_GBK"/>
                <w:color w:val="000000"/>
                <w:kern w:val="0"/>
                <w:sz w:val="18"/>
                <w:szCs w:val="18"/>
              </w:rPr>
            </w:pPr>
          </w:p>
        </w:tc>
        <w:tc>
          <w:tcPr>
            <w:tcW w:w="36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甲类</w:t>
            </w:r>
          </w:p>
        </w:tc>
        <w:tc>
          <w:tcPr>
            <w:tcW w:w="8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lang w:val="en-US" w:eastAsia="zh-CN"/>
              </w:rPr>
              <w:t>1.</w:t>
            </w:r>
            <w:r>
              <w:rPr>
                <w:rFonts w:hint="eastAsia" w:ascii="Times New Roman" w:hAnsi="Times New Roman" w:eastAsia="方正仿宋_GBK" w:cs="方正仿宋_GBK"/>
                <w:color w:val="000000"/>
                <w:kern w:val="0"/>
                <w:sz w:val="18"/>
                <w:szCs w:val="18"/>
              </w:rPr>
              <w:t>限我市职工医保和居民医保参保人员新住院或在发热门诊治疗时，所接受的“新型冠状病毒核酸检测”予以报销，一次就诊限报一次</w:t>
            </w:r>
            <w:r>
              <w:rPr>
                <w:rFonts w:hint="eastAsia" w:ascii="Times New Roman" w:hAnsi="Times New Roman" w:eastAsia="方正仿宋_GBK" w:cs="方正仿宋_GBK"/>
                <w:color w:val="000000"/>
                <w:kern w:val="0"/>
                <w:sz w:val="18"/>
                <w:szCs w:val="18"/>
                <w:lang w:eastAsia="zh-CN"/>
              </w:rPr>
              <w:t>；</w:t>
            </w:r>
            <w:r>
              <w:rPr>
                <w:rFonts w:hint="eastAsia" w:ascii="Times New Roman" w:hAnsi="Times New Roman" w:eastAsia="方正仿宋_GBK" w:cs="方正仿宋_GBK"/>
                <w:color w:val="000000"/>
                <w:kern w:val="0"/>
                <w:sz w:val="18"/>
                <w:szCs w:val="18"/>
              </w:rPr>
              <w:br w:type="textWrapping"/>
            </w:r>
            <w:r>
              <w:rPr>
                <w:rFonts w:hint="eastAsia" w:ascii="Times New Roman" w:hAnsi="Times New Roman" w:eastAsia="方正仿宋_GBK" w:cs="方正仿宋_GBK"/>
                <w:color w:val="000000"/>
                <w:kern w:val="0"/>
                <w:sz w:val="18"/>
                <w:szCs w:val="18"/>
                <w:lang w:val="en-US" w:eastAsia="zh-CN"/>
              </w:rPr>
              <w:t>2.医保全额报销。</w:t>
            </w:r>
          </w:p>
        </w:tc>
      </w:tr>
      <w:tr>
        <w:tblPrEx>
          <w:tblCellMar>
            <w:top w:w="0" w:type="dxa"/>
            <w:left w:w="108" w:type="dxa"/>
            <w:bottom w:w="0" w:type="dxa"/>
            <w:right w:w="108" w:type="dxa"/>
          </w:tblCellMar>
        </w:tblPrEx>
        <w:trPr>
          <w:trHeight w:val="1583" w:hRule="atLeast"/>
          <w:jc w:val="center"/>
        </w:trPr>
        <w:tc>
          <w:tcPr>
            <w:tcW w:w="3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250403098</w:t>
            </w:r>
          </w:p>
        </w:tc>
        <w:tc>
          <w:tcPr>
            <w:tcW w:w="430"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新型冠状病毒抗原检测</w:t>
            </w:r>
          </w:p>
        </w:tc>
        <w:tc>
          <w:tcPr>
            <w:tcW w:w="753"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采集样本开展新型冠状病毒抗原检测，判断并审核结果，录入实验室信息系统或人工登记，发送报告，按规定处理废弃物；接受临床相关咨询。</w:t>
            </w:r>
          </w:p>
        </w:tc>
        <w:tc>
          <w:tcPr>
            <w:tcW w:w="360"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rPr>
            </w:pPr>
          </w:p>
        </w:tc>
        <w:tc>
          <w:tcPr>
            <w:tcW w:w="360"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抗原检测试剂盒</w:t>
            </w:r>
          </w:p>
        </w:tc>
        <w:tc>
          <w:tcPr>
            <w:tcW w:w="309"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人次</w:t>
            </w:r>
          </w:p>
        </w:tc>
        <w:tc>
          <w:tcPr>
            <w:tcW w:w="391"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Times New Roman" w:hAnsi="Times New Roman" w:eastAsia="方正仿宋_GBK" w:cs="方正仿宋_GBK"/>
                <w:color w:val="000000"/>
                <w:kern w:val="0"/>
                <w:sz w:val="18"/>
                <w:szCs w:val="18"/>
                <w:lang w:eastAsia="zh-CN"/>
              </w:rPr>
            </w:pPr>
            <w:r>
              <w:rPr>
                <w:rFonts w:hint="eastAsia" w:ascii="Times New Roman" w:hAnsi="Times New Roman" w:eastAsia="方正仿宋_GBK" w:cs="方正仿宋_GBK"/>
                <w:color w:val="000000"/>
                <w:kern w:val="0"/>
                <w:sz w:val="18"/>
                <w:szCs w:val="18"/>
                <w:lang w:val="en-US" w:eastAsia="zh-CN"/>
              </w:rPr>
              <w:t>2</w:t>
            </w:r>
          </w:p>
        </w:tc>
        <w:tc>
          <w:tcPr>
            <w:tcW w:w="807" w:type="pct"/>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rPr>
            </w:pPr>
            <w:r>
              <w:rPr>
                <w:rFonts w:hint="eastAsia" w:ascii="Times New Roman" w:hAnsi="Times New Roman" w:eastAsia="方正仿宋_GBK" w:cs="方正仿宋_GBK"/>
                <w:color w:val="000000"/>
                <w:kern w:val="0"/>
                <w:sz w:val="18"/>
                <w:szCs w:val="18"/>
              </w:rPr>
              <w:t>“检测价格项目+检测试剂”费用总和超过</w:t>
            </w:r>
            <w:r>
              <w:rPr>
                <w:rFonts w:hint="eastAsia" w:ascii="Times New Roman" w:hAnsi="Times New Roman" w:eastAsia="方正仿宋_GBK" w:cs="方正仿宋_GBK"/>
                <w:color w:val="000000"/>
                <w:kern w:val="0"/>
                <w:sz w:val="18"/>
                <w:szCs w:val="18"/>
                <w:lang w:val="en-US" w:eastAsia="zh-CN"/>
              </w:rPr>
              <w:t>6</w:t>
            </w:r>
            <w:r>
              <w:rPr>
                <w:rFonts w:hint="eastAsia" w:ascii="Times New Roman" w:hAnsi="Times New Roman" w:eastAsia="方正仿宋_GBK" w:cs="方正仿宋_GBK"/>
                <w:color w:val="000000"/>
                <w:kern w:val="0"/>
                <w:sz w:val="18"/>
                <w:szCs w:val="18"/>
              </w:rPr>
              <w:t>元/人次的，实际收费按照</w:t>
            </w:r>
            <w:r>
              <w:rPr>
                <w:rFonts w:hint="eastAsia" w:ascii="Times New Roman" w:hAnsi="Times New Roman" w:eastAsia="方正仿宋_GBK" w:cs="方正仿宋_GBK"/>
                <w:color w:val="000000"/>
                <w:kern w:val="0"/>
                <w:sz w:val="18"/>
                <w:szCs w:val="18"/>
                <w:lang w:val="en-US" w:eastAsia="zh-CN"/>
              </w:rPr>
              <w:t>6</w:t>
            </w:r>
            <w:r>
              <w:rPr>
                <w:rFonts w:hint="eastAsia" w:ascii="Times New Roman" w:hAnsi="Times New Roman" w:eastAsia="方正仿宋_GBK" w:cs="方正仿宋_GBK"/>
                <w:color w:val="000000"/>
                <w:kern w:val="0"/>
                <w:sz w:val="18"/>
                <w:szCs w:val="18"/>
              </w:rPr>
              <w:t>元/人次封顶。</w:t>
            </w:r>
          </w:p>
        </w:tc>
        <w:tc>
          <w:tcPr>
            <w:tcW w:w="369"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lang w:val="en-US" w:eastAsia="zh-CN"/>
              </w:rPr>
            </w:pPr>
          </w:p>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甲类</w:t>
            </w:r>
          </w:p>
          <w:p>
            <w:pPr>
              <w:keepNext w:val="0"/>
              <w:keepLines w:val="0"/>
              <w:widowControl/>
              <w:suppressLineNumbers w:val="0"/>
              <w:spacing w:before="0" w:beforeAutospacing="0" w:after="0" w:afterAutospacing="0" w:line="200" w:lineRule="exact"/>
              <w:ind w:left="0" w:right="0"/>
              <w:jc w:val="center"/>
              <w:rPr>
                <w:rFonts w:hint="eastAsia" w:ascii="Times New Roman" w:hAnsi="Times New Roman" w:eastAsia="方正仿宋_GBK" w:cs="方正仿宋_GBK"/>
                <w:color w:val="000000"/>
                <w:kern w:val="0"/>
                <w:sz w:val="18"/>
                <w:szCs w:val="18"/>
                <w:lang w:val="en-US" w:eastAsia="zh-CN"/>
              </w:rPr>
            </w:pPr>
          </w:p>
        </w:tc>
        <w:tc>
          <w:tcPr>
            <w:tcW w:w="84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lang w:val="en-US" w:eastAsia="zh-CN"/>
              </w:rPr>
            </w:pPr>
          </w:p>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1.限我市职工医保和居民医保参保人员在基层医疗机构新住院或在发热门诊治疗时，所接受的“新型冠状病毒抗原检测”</w:t>
            </w:r>
          </w:p>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予以报销，一次就诊限报一次；</w:t>
            </w:r>
          </w:p>
          <w:p>
            <w:pPr>
              <w:keepNext w:val="0"/>
              <w:keepLines w:val="0"/>
              <w:widowControl/>
              <w:suppressLineNumbers w:val="0"/>
              <w:spacing w:before="0" w:beforeAutospacing="0" w:after="0" w:afterAutospacing="0" w:line="200" w:lineRule="exact"/>
              <w:ind w:left="0" w:right="0"/>
              <w:jc w:val="both"/>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2.医保全额报销。</w:t>
            </w:r>
          </w:p>
        </w:tc>
      </w:tr>
    </w:tbl>
    <w:p>
      <w:pPr>
        <w:spacing w:line="600" w:lineRule="exact"/>
        <w:jc w:val="left"/>
        <w:rPr>
          <w:rFonts w:hint="eastAsia" w:ascii="Times New Roman" w:hAnsi="Times New Roman" w:eastAsia="方正黑体_GBK" w:cs="Times New Roman"/>
          <w:sz w:val="32"/>
          <w:szCs w:val="32"/>
        </w:rPr>
      </w:pPr>
    </w:p>
    <w:p>
      <w:pPr>
        <w:spacing w:line="600" w:lineRule="exact"/>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keepNext w:val="0"/>
        <w:keepLines w:val="0"/>
        <w:widowControl w:val="0"/>
        <w:suppressLineNumbers w:val="0"/>
        <w:spacing w:before="0" w:beforeAutospacing="0" w:after="0" w:afterAutospacing="0" w:line="500" w:lineRule="exact"/>
        <w:ind w:left="0" w:right="0"/>
        <w:jc w:val="center"/>
        <w:rPr>
          <w:rFonts w:hint="eastAsia" w:ascii="方正小标宋_GBK" w:hAnsi="方正小标宋_GBK" w:eastAsia="方正小标宋_GBK" w:cs="方正小标宋_GBK"/>
          <w:color w:val="000000"/>
          <w:kern w:val="0"/>
          <w:sz w:val="44"/>
          <w:szCs w:val="44"/>
          <w:lang w:val="en-US"/>
        </w:rPr>
      </w:pPr>
      <w:r>
        <w:rPr>
          <w:rFonts w:hint="eastAsia"/>
          <w:lang w:eastAsia="zh-CN"/>
        </w:rPr>
        <w:tab/>
      </w:r>
      <w:r>
        <w:rPr>
          <w:rFonts w:hint="eastAsia" w:ascii="方正小标宋_GBK" w:hAnsi="方正小标宋_GBK" w:eastAsia="方正小标宋_GBK" w:cs="方正小标宋_GBK"/>
          <w:color w:val="000000"/>
          <w:kern w:val="0"/>
          <w:sz w:val="44"/>
          <w:szCs w:val="44"/>
          <w:lang w:val="en-US" w:eastAsia="zh-CN" w:bidi="ar"/>
        </w:rPr>
        <w:t>新型冠状病毒抗原检测试剂盒临时纳入医保耗材目录</w:t>
      </w:r>
    </w:p>
    <w:p>
      <w:pPr>
        <w:keepNext w:val="0"/>
        <w:keepLines w:val="0"/>
        <w:widowControl/>
        <w:suppressLineNumbers w:val="0"/>
        <w:spacing w:before="0" w:beforeAutospacing="0" w:after="0" w:afterAutospacing="0" w:line="300" w:lineRule="exact"/>
        <w:ind w:left="0" w:right="0"/>
        <w:jc w:val="center"/>
        <w:rPr>
          <w:rFonts w:hint="eastAsia" w:eastAsiaTheme="minorEastAsia"/>
          <w:lang w:eastAsia="zh-CN"/>
        </w:rPr>
      </w:pPr>
    </w:p>
    <w:tbl>
      <w:tblPr>
        <w:tblStyle w:val="12"/>
        <w:tblpPr w:leftFromText="180" w:rightFromText="180" w:vertAnchor="text" w:horzAnchor="page" w:tblpXSpec="center" w:tblpY="384"/>
        <w:tblOverlap w:val="never"/>
        <w:tblW w:w="12835" w:type="dxa"/>
        <w:jc w:val="center"/>
        <w:tblLayout w:type="fixed"/>
        <w:tblCellMar>
          <w:top w:w="0" w:type="dxa"/>
          <w:left w:w="0" w:type="dxa"/>
          <w:bottom w:w="0" w:type="dxa"/>
          <w:right w:w="0" w:type="dxa"/>
        </w:tblCellMar>
      </w:tblPr>
      <w:tblGrid>
        <w:gridCol w:w="1405"/>
        <w:gridCol w:w="1669"/>
        <w:gridCol w:w="990"/>
        <w:gridCol w:w="1261"/>
        <w:gridCol w:w="1465"/>
        <w:gridCol w:w="990"/>
        <w:gridCol w:w="1548"/>
        <w:gridCol w:w="1125"/>
        <w:gridCol w:w="2382"/>
      </w:tblGrid>
      <w:tr>
        <w:tblPrEx>
          <w:tblCellMar>
            <w:top w:w="0" w:type="dxa"/>
            <w:left w:w="0" w:type="dxa"/>
            <w:bottom w:w="0" w:type="dxa"/>
            <w:right w:w="0" w:type="dxa"/>
          </w:tblCellMar>
        </w:tblPrEx>
        <w:trPr>
          <w:trHeight w:val="708" w:hRule="atLeast"/>
          <w:jc w:val="center"/>
        </w:trPr>
        <w:tc>
          <w:tcPr>
            <w:tcW w:w="6790" w:type="dxa"/>
            <w:gridSpan w:val="5"/>
            <w:tcBorders>
              <w:top w:val="single" w:color="000000" w:sz="4" w:space="0"/>
              <w:left w:val="single" w:color="000000" w:sz="4" w:space="0"/>
              <w:bottom w:val="single" w:color="000000"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耗材分类标识</w:t>
            </w:r>
          </w:p>
        </w:tc>
        <w:tc>
          <w:tcPr>
            <w:tcW w:w="6045" w:type="dxa"/>
            <w:gridSpan w:val="4"/>
            <w:tcBorders>
              <w:top w:val="single" w:color="000000" w:sz="4" w:space="0"/>
              <w:left w:val="single" w:color="000000" w:sz="4" w:space="0"/>
              <w:bottom w:val="single" w:color="000000"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医保政策标识</w:t>
            </w:r>
          </w:p>
        </w:tc>
      </w:tr>
      <w:tr>
        <w:tblPrEx>
          <w:tblCellMar>
            <w:top w:w="0" w:type="dxa"/>
            <w:left w:w="0" w:type="dxa"/>
            <w:bottom w:w="0" w:type="dxa"/>
            <w:right w:w="0" w:type="dxa"/>
          </w:tblCellMar>
        </w:tblPrEx>
        <w:trPr>
          <w:trHeight w:val="708" w:hRule="atLeast"/>
          <w:jc w:val="center"/>
        </w:trPr>
        <w:tc>
          <w:tcPr>
            <w:tcW w:w="1405"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医保通用名</w:t>
            </w:r>
          </w:p>
        </w:tc>
        <w:tc>
          <w:tcPr>
            <w:tcW w:w="1669"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一级分类</w:t>
            </w:r>
          </w:p>
        </w:tc>
        <w:tc>
          <w:tcPr>
            <w:tcW w:w="990"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二级分类</w:t>
            </w:r>
          </w:p>
        </w:tc>
        <w:tc>
          <w:tcPr>
            <w:tcW w:w="1261"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三级分类</w:t>
            </w:r>
          </w:p>
        </w:tc>
        <w:tc>
          <w:tcPr>
            <w:tcW w:w="1465"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单件产品名称/特征条件</w:t>
            </w:r>
          </w:p>
        </w:tc>
        <w:tc>
          <w:tcPr>
            <w:tcW w:w="990"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医保属性</w:t>
            </w:r>
          </w:p>
        </w:tc>
        <w:tc>
          <w:tcPr>
            <w:tcW w:w="1548"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医保支付标准</w:t>
            </w:r>
          </w:p>
        </w:tc>
        <w:tc>
          <w:tcPr>
            <w:tcW w:w="1125"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计价单位</w:t>
            </w:r>
          </w:p>
        </w:tc>
        <w:tc>
          <w:tcPr>
            <w:tcW w:w="2382" w:type="dxa"/>
            <w:tcBorders>
              <w:top w:val="single" w:color="000000" w:sz="4" w:space="0"/>
              <w:left w:val="single" w:color="000000" w:sz="4" w:space="0"/>
              <w:bottom w:val="single" w:color="auto" w:sz="4" w:space="0"/>
              <w:right w:val="single" w:color="000000" w:sz="4" w:space="0"/>
            </w:tcBorders>
            <w:shd w:val="clear" w:color="FFFFCC" w:fill="FFFFFF"/>
            <w:noWrap/>
            <w:tcMar>
              <w:top w:w="12" w:type="dxa"/>
              <w:left w:w="12" w:type="dxa"/>
              <w:right w:w="12" w:type="dxa"/>
            </w:tcMar>
            <w:vAlign w:val="center"/>
          </w:tcPr>
          <w:p>
            <w:pPr>
              <w:keepNext w:val="0"/>
              <w:keepLines w:val="0"/>
              <w:widowControl/>
              <w:suppressLineNumbers w:val="0"/>
              <w:spacing w:before="0" w:beforeAutospacing="0" w:after="0" w:afterAutospacing="0" w:line="300" w:lineRule="exact"/>
              <w:ind w:left="0" w:right="0"/>
              <w:jc w:val="center"/>
              <w:rPr>
                <w:rFonts w:hint="eastAsia" w:eastAsia="方正黑体_GBK" w:cs="方正书宋_GBK"/>
                <w:color w:val="000000"/>
                <w:kern w:val="0"/>
                <w:sz w:val="24"/>
                <w:szCs w:val="24"/>
                <w:lang w:val="en-US" w:eastAsia="zh-CN"/>
              </w:rPr>
            </w:pPr>
            <w:r>
              <w:rPr>
                <w:rFonts w:hint="eastAsia" w:eastAsia="方正黑体_GBK" w:cs="方正书宋_GBK"/>
                <w:color w:val="000000"/>
                <w:kern w:val="0"/>
                <w:sz w:val="24"/>
                <w:szCs w:val="24"/>
                <w:lang w:val="en-US" w:eastAsia="zh-CN"/>
              </w:rPr>
              <w:t>支付限制</w:t>
            </w:r>
          </w:p>
        </w:tc>
      </w:tr>
      <w:tr>
        <w:tblPrEx>
          <w:tblCellMar>
            <w:top w:w="0" w:type="dxa"/>
            <w:left w:w="0" w:type="dxa"/>
            <w:bottom w:w="0" w:type="dxa"/>
            <w:right w:w="0" w:type="dxa"/>
          </w:tblCellMar>
        </w:tblPrEx>
        <w:trPr>
          <w:trHeight w:val="2772" w:hRule="atLeast"/>
          <w:jc w:val="center"/>
        </w:trPr>
        <w:tc>
          <w:tcPr>
            <w:tcW w:w="1405"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抗原检测试剂盒</w:t>
            </w:r>
          </w:p>
        </w:tc>
        <w:tc>
          <w:tcPr>
            <w:tcW w:w="1669"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14-基础卫生材料</w:t>
            </w:r>
          </w:p>
        </w:tc>
        <w:tc>
          <w:tcPr>
            <w:tcW w:w="990"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02-常规医疗用品</w:t>
            </w:r>
          </w:p>
        </w:tc>
        <w:tc>
          <w:tcPr>
            <w:tcW w:w="1261"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02-其他常规医疗用品</w:t>
            </w:r>
          </w:p>
        </w:tc>
        <w:tc>
          <w:tcPr>
            <w:tcW w:w="1465"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含“抗原检测试剂盒”</w:t>
            </w:r>
          </w:p>
        </w:tc>
        <w:tc>
          <w:tcPr>
            <w:tcW w:w="990"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甲类</w:t>
            </w:r>
          </w:p>
        </w:tc>
        <w:tc>
          <w:tcPr>
            <w:tcW w:w="1548"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4元</w:t>
            </w:r>
          </w:p>
        </w:tc>
        <w:tc>
          <w:tcPr>
            <w:tcW w:w="1125"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个（件）</w:t>
            </w:r>
          </w:p>
        </w:tc>
        <w:tc>
          <w:tcPr>
            <w:tcW w:w="2382" w:type="dxa"/>
            <w:tcBorders>
              <w:top w:val="single" w:color="auto" w:sz="4" w:space="0"/>
              <w:left w:val="single" w:color="auto" w:sz="4" w:space="0"/>
              <w:bottom w:val="single" w:color="auto" w:sz="4" w:space="0"/>
              <w:right w:val="single" w:color="auto" w:sz="4" w:space="0"/>
            </w:tcBorders>
            <w:shd w:val="clear" w:color="FFFFCC" w:fill="FFFFFF"/>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Times New Roman" w:hAnsi="Times New Roman" w:eastAsia="方正仿宋_GBK" w:cs="方正仿宋_GBK"/>
                <w:color w:val="000000"/>
                <w:kern w:val="0"/>
                <w:sz w:val="18"/>
                <w:szCs w:val="18"/>
                <w:lang w:val="en-US" w:eastAsia="zh-CN"/>
              </w:rPr>
            </w:pPr>
            <w:r>
              <w:rPr>
                <w:rFonts w:hint="eastAsia" w:ascii="Times New Roman" w:hAnsi="Times New Roman" w:eastAsia="方正仿宋_GBK" w:cs="方正仿宋_GBK"/>
                <w:color w:val="000000"/>
                <w:kern w:val="0"/>
                <w:sz w:val="18"/>
                <w:szCs w:val="18"/>
                <w:lang w:val="en-US" w:eastAsia="zh-CN"/>
              </w:rPr>
              <w:t>限我市职工医保和居民医保参保人员在基层医疗机构新住院或在发热门诊治疗时，所接受的“新型冠状病毒抗原检测”中的“抗原检测试剂盒”予以全额报销，最高不超过4元/人次，一次就诊限报一次。</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jc w:val="both"/>
        <w:rPr>
          <w:rFonts w:eastAsia="方正仿宋_GBK" w:cs="方正仿宋_GBK"/>
          <w:sz w:val="32"/>
        </w:rPr>
      </w:pPr>
    </w:p>
    <w:p>
      <w:pPr>
        <w:spacing w:line="600" w:lineRule="exact"/>
        <w:rPr>
          <w:vanish/>
        </w:rPr>
      </w:pPr>
    </w:p>
    <w:sectPr>
      <w:headerReference r:id="rId4" w:type="default"/>
      <w:footerReference r:id="rId5" w:type="default"/>
      <w:pgSz w:w="16838" w:h="11906" w:orient="landscape"/>
      <w:pgMar w:top="1587" w:right="2098" w:bottom="1474" w:left="1984" w:header="850" w:footer="992" w:gutter="0"/>
      <w:pgNumType w:fmt="numberInDash"/>
      <w:cols w:space="0" w:num="1"/>
      <w:rtlGutter w:val="0"/>
      <w:docGrid w:type="line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j56G3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P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Bj56G3EgIAABMEAAAOAAAAAAAAAAEA&#10;IAAAACABAABkcnMvZTJvRG9jLnhtbFBLBQYAAAAABgAGAFkBAACk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60288;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D6382"/>
    <w:multiLevelType w:val="multilevel"/>
    <w:tmpl w:val="252D638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trackedChanges" w:enforcement="0"/>
  <w:defaultTabStop w:val="420"/>
  <w:drawingGridHorizontalSpacing w:val="320"/>
  <w:drawingGridVerticalSpacing w:val="230"/>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950F8D"/>
    <w:rsid w:val="070048D5"/>
    <w:rsid w:val="073D45C5"/>
    <w:rsid w:val="076957C2"/>
    <w:rsid w:val="07EC6E0C"/>
    <w:rsid w:val="084753E6"/>
    <w:rsid w:val="087050E9"/>
    <w:rsid w:val="0914781F"/>
    <w:rsid w:val="0918084D"/>
    <w:rsid w:val="09885F51"/>
    <w:rsid w:val="09B43962"/>
    <w:rsid w:val="0BB13BB7"/>
    <w:rsid w:val="0C54147B"/>
    <w:rsid w:val="0CCB7D8E"/>
    <w:rsid w:val="0D594AAF"/>
    <w:rsid w:val="0D8B1353"/>
    <w:rsid w:val="0FFE7C90"/>
    <w:rsid w:val="102D452D"/>
    <w:rsid w:val="1079076C"/>
    <w:rsid w:val="11531582"/>
    <w:rsid w:val="11E8226D"/>
    <w:rsid w:val="123A777F"/>
    <w:rsid w:val="132574D5"/>
    <w:rsid w:val="13302224"/>
    <w:rsid w:val="1357521D"/>
    <w:rsid w:val="14337333"/>
    <w:rsid w:val="144A63DE"/>
    <w:rsid w:val="14F25CBF"/>
    <w:rsid w:val="16C246E7"/>
    <w:rsid w:val="17C024B6"/>
    <w:rsid w:val="19296EF8"/>
    <w:rsid w:val="1968378C"/>
    <w:rsid w:val="1A5A741F"/>
    <w:rsid w:val="1AC44166"/>
    <w:rsid w:val="1ADC51BC"/>
    <w:rsid w:val="1B2F2EA0"/>
    <w:rsid w:val="1B405FB2"/>
    <w:rsid w:val="1B633972"/>
    <w:rsid w:val="1DBD3183"/>
    <w:rsid w:val="1DC13E8E"/>
    <w:rsid w:val="1DF4732F"/>
    <w:rsid w:val="1E2F6BFE"/>
    <w:rsid w:val="1EB406AA"/>
    <w:rsid w:val="1EFC6426"/>
    <w:rsid w:val="20224B82"/>
    <w:rsid w:val="208507EF"/>
    <w:rsid w:val="2095338A"/>
    <w:rsid w:val="2105730F"/>
    <w:rsid w:val="221727AE"/>
    <w:rsid w:val="236013BA"/>
    <w:rsid w:val="23FD601C"/>
    <w:rsid w:val="24002D3E"/>
    <w:rsid w:val="24D07B88"/>
    <w:rsid w:val="264D363D"/>
    <w:rsid w:val="26FD574A"/>
    <w:rsid w:val="28F44D1D"/>
    <w:rsid w:val="29B31962"/>
    <w:rsid w:val="2A3A7AF4"/>
    <w:rsid w:val="2A511C35"/>
    <w:rsid w:val="2B853FFF"/>
    <w:rsid w:val="2B854C48"/>
    <w:rsid w:val="2C7A0633"/>
    <w:rsid w:val="2CAB7D6F"/>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81401E3"/>
    <w:rsid w:val="39885C97"/>
    <w:rsid w:val="3A2C643A"/>
    <w:rsid w:val="3B2D0AC8"/>
    <w:rsid w:val="3CD16A8F"/>
    <w:rsid w:val="3DED3659"/>
    <w:rsid w:val="3E2D13C0"/>
    <w:rsid w:val="3ED05151"/>
    <w:rsid w:val="40450D0B"/>
    <w:rsid w:val="40664098"/>
    <w:rsid w:val="4118065B"/>
    <w:rsid w:val="41BD7918"/>
    <w:rsid w:val="41C457D9"/>
    <w:rsid w:val="424E1501"/>
    <w:rsid w:val="42F651DF"/>
    <w:rsid w:val="435F45BF"/>
    <w:rsid w:val="439B0296"/>
    <w:rsid w:val="442F1979"/>
    <w:rsid w:val="44A57506"/>
    <w:rsid w:val="45706BA0"/>
    <w:rsid w:val="462209E8"/>
    <w:rsid w:val="466A111A"/>
    <w:rsid w:val="4706389A"/>
    <w:rsid w:val="486024E4"/>
    <w:rsid w:val="49CE4388"/>
    <w:rsid w:val="4A8973CF"/>
    <w:rsid w:val="4AE96240"/>
    <w:rsid w:val="4AFC7E5B"/>
    <w:rsid w:val="4B5A7195"/>
    <w:rsid w:val="4BD434FE"/>
    <w:rsid w:val="4C4706A2"/>
    <w:rsid w:val="4C843B13"/>
    <w:rsid w:val="4D26576E"/>
    <w:rsid w:val="4FB44B8E"/>
    <w:rsid w:val="50100E41"/>
    <w:rsid w:val="514D6AF1"/>
    <w:rsid w:val="51BF1041"/>
    <w:rsid w:val="51D448DF"/>
    <w:rsid w:val="51F61FAC"/>
    <w:rsid w:val="52CA27DA"/>
    <w:rsid w:val="52FC793E"/>
    <w:rsid w:val="534E478B"/>
    <w:rsid w:val="53EF20D7"/>
    <w:rsid w:val="545A5A48"/>
    <w:rsid w:val="549C25CA"/>
    <w:rsid w:val="54A7336D"/>
    <w:rsid w:val="550B4BAD"/>
    <w:rsid w:val="56F4369F"/>
    <w:rsid w:val="575B66FE"/>
    <w:rsid w:val="57855D92"/>
    <w:rsid w:val="579B5BB6"/>
    <w:rsid w:val="59A124F1"/>
    <w:rsid w:val="5AA50FB7"/>
    <w:rsid w:val="5ABA2045"/>
    <w:rsid w:val="5B463F7E"/>
    <w:rsid w:val="5B5D036D"/>
    <w:rsid w:val="5C3418D5"/>
    <w:rsid w:val="5F10323B"/>
    <w:rsid w:val="5FCB7665"/>
    <w:rsid w:val="616C0D43"/>
    <w:rsid w:val="61A637F2"/>
    <w:rsid w:val="61D811B2"/>
    <w:rsid w:val="62D23C0D"/>
    <w:rsid w:val="62D83631"/>
    <w:rsid w:val="62F07BBD"/>
    <w:rsid w:val="63187BEE"/>
    <w:rsid w:val="63207A81"/>
    <w:rsid w:val="63C94BAA"/>
    <w:rsid w:val="64461E53"/>
    <w:rsid w:val="646255DF"/>
    <w:rsid w:val="64DC200C"/>
    <w:rsid w:val="659D1143"/>
    <w:rsid w:val="65B41EFD"/>
    <w:rsid w:val="65F85279"/>
    <w:rsid w:val="662B4C75"/>
    <w:rsid w:val="6685660E"/>
    <w:rsid w:val="67887E6E"/>
    <w:rsid w:val="6813133D"/>
    <w:rsid w:val="68C717DE"/>
    <w:rsid w:val="697A06DC"/>
    <w:rsid w:val="6A956AC6"/>
    <w:rsid w:val="6CB5381A"/>
    <w:rsid w:val="6D2140D5"/>
    <w:rsid w:val="6DDD337E"/>
    <w:rsid w:val="6E1E6AFD"/>
    <w:rsid w:val="6FC65ADB"/>
    <w:rsid w:val="6FD138EF"/>
    <w:rsid w:val="71315E0C"/>
    <w:rsid w:val="7139185E"/>
    <w:rsid w:val="727F6D42"/>
    <w:rsid w:val="72B90ED5"/>
    <w:rsid w:val="72E86363"/>
    <w:rsid w:val="735A5633"/>
    <w:rsid w:val="73B6418E"/>
    <w:rsid w:val="73B715EA"/>
    <w:rsid w:val="73C21567"/>
    <w:rsid w:val="73FD347F"/>
    <w:rsid w:val="74013D68"/>
    <w:rsid w:val="741E0C47"/>
    <w:rsid w:val="754176A5"/>
    <w:rsid w:val="75C44DCE"/>
    <w:rsid w:val="770F4479"/>
    <w:rsid w:val="7806177E"/>
    <w:rsid w:val="780D4995"/>
    <w:rsid w:val="78B16511"/>
    <w:rsid w:val="78DE2C63"/>
    <w:rsid w:val="79596BC4"/>
    <w:rsid w:val="79DA08FC"/>
    <w:rsid w:val="79FA3B7B"/>
    <w:rsid w:val="79FE76F7"/>
    <w:rsid w:val="7AA358B2"/>
    <w:rsid w:val="7AB53E5F"/>
    <w:rsid w:val="7BF950F8"/>
    <w:rsid w:val="7D351262"/>
    <w:rsid w:val="7E30247C"/>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rPr>
  </w:style>
  <w:style w:type="paragraph" w:styleId="4">
    <w:name w:val="Date"/>
    <w:basedOn w:val="1"/>
    <w:next w:val="1"/>
    <w:link w:val="17"/>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character" w:customStyle="1" w:styleId="17">
    <w:name w:val="日期 Char"/>
    <w:link w:val="4"/>
    <w:qFormat/>
    <w:uiPriority w:val="0"/>
    <w:rPr>
      <w:rFonts w:eastAsia="仿宋_GB2312"/>
      <w:kern w:val="2"/>
      <w:sz w:val="32"/>
      <w:szCs w:val="32"/>
    </w:rPr>
  </w:style>
  <w:style w:type="character" w:customStyle="1" w:styleId="18">
    <w:name w:val="font11"/>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2094</Words>
  <Characters>2162</Characters>
  <Lines>4</Lines>
  <Paragraphs>1</Paragraphs>
  <TotalTime>0</TotalTime>
  <ScaleCrop>false</ScaleCrop>
  <LinksUpToDate>false</LinksUpToDate>
  <CharactersWithSpaces>2180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 GEGE</cp:lastModifiedBy>
  <cp:lastPrinted>2022-05-12T06:18:00Z</cp:lastPrinted>
  <dcterms:modified xsi:type="dcterms:W3CDTF">2023-10-20T03:22:30Z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CA721104B3FF4347BDB2A8A21B29E5B1_13</vt:lpwstr>
  </property>
</Properties>
</file>